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A1C" w14:textId="77777777" w:rsidR="008E17B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Modul Description</w:t>
      </w:r>
    </w:p>
    <w:tbl>
      <w:tblPr>
        <w:tblStyle w:val="a"/>
        <w:tblW w:w="902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756"/>
      </w:tblGrid>
      <w:tr w:rsidR="008E17BC" w14:paraId="008A118E" w14:textId="77777777">
        <w:trPr>
          <w:trHeight w:val="345"/>
        </w:trPr>
        <w:tc>
          <w:tcPr>
            <w:tcW w:w="2273" w:type="dxa"/>
          </w:tcPr>
          <w:p w14:paraId="26E5804C"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name</w:t>
            </w:r>
          </w:p>
        </w:tc>
        <w:tc>
          <w:tcPr>
            <w:tcW w:w="6756" w:type="dxa"/>
            <w:shd w:val="clear" w:color="auto" w:fill="F1F1F1"/>
          </w:tcPr>
          <w:p w14:paraId="4D779B35" w14:textId="77777777" w:rsidR="008E17BC" w:rsidRDefault="00000000">
            <w:pPr>
              <w:widowControl w:val="0"/>
              <w:pBdr>
                <w:top w:val="nil"/>
                <w:left w:val="nil"/>
                <w:bottom w:val="nil"/>
                <w:right w:val="nil"/>
                <w:between w:val="nil"/>
              </w:pBdr>
              <w:tabs>
                <w:tab w:val="left" w:pos="2193"/>
              </w:tabs>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F0F5F"/>
                <w:sz w:val="24"/>
                <w:szCs w:val="24"/>
                <w:shd w:val="clear" w:color="auto" w:fill="F0F0A0"/>
              </w:rPr>
              <w:t>History of Indonesia</w:t>
            </w:r>
          </w:p>
        </w:tc>
      </w:tr>
      <w:tr w:rsidR="008E17BC" w14:paraId="670ED26A" w14:textId="77777777">
        <w:trPr>
          <w:trHeight w:val="549"/>
        </w:trPr>
        <w:tc>
          <w:tcPr>
            <w:tcW w:w="2273" w:type="dxa"/>
          </w:tcPr>
          <w:p w14:paraId="4BD02B22" w14:textId="77777777" w:rsidR="008E17BC" w:rsidRDefault="00000000">
            <w:pPr>
              <w:widowControl w:val="0"/>
              <w:pBdr>
                <w:top w:val="nil"/>
                <w:left w:val="nil"/>
                <w:bottom w:val="nil"/>
                <w:right w:val="nil"/>
                <w:between w:val="nil"/>
              </w:pBdr>
              <w:spacing w:after="0"/>
              <w:ind w:left="106" w:right="5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level, if applicable</w:t>
            </w:r>
          </w:p>
        </w:tc>
        <w:tc>
          <w:tcPr>
            <w:tcW w:w="6756" w:type="dxa"/>
            <w:shd w:val="clear" w:color="auto" w:fill="F1F1F1"/>
          </w:tcPr>
          <w:p w14:paraId="0C139A30"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w:t>
            </w:r>
          </w:p>
        </w:tc>
      </w:tr>
      <w:tr w:rsidR="008E17BC" w14:paraId="46597201" w14:textId="77777777">
        <w:trPr>
          <w:trHeight w:val="344"/>
        </w:trPr>
        <w:tc>
          <w:tcPr>
            <w:tcW w:w="2273" w:type="dxa"/>
          </w:tcPr>
          <w:p w14:paraId="3EAB2871" w14:textId="77777777" w:rsidR="008E17BC"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Code, if applicable</w:t>
            </w:r>
          </w:p>
        </w:tc>
        <w:tc>
          <w:tcPr>
            <w:tcW w:w="6756" w:type="dxa"/>
            <w:shd w:val="clear" w:color="auto" w:fill="F1F1F1"/>
          </w:tcPr>
          <w:p w14:paraId="473B3B29" w14:textId="77777777" w:rsidR="008E17BC"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49150603</w:t>
            </w:r>
          </w:p>
        </w:tc>
      </w:tr>
      <w:tr w:rsidR="008E17BC" w14:paraId="11991BFC" w14:textId="77777777">
        <w:trPr>
          <w:trHeight w:val="550"/>
        </w:trPr>
        <w:tc>
          <w:tcPr>
            <w:tcW w:w="2273" w:type="dxa"/>
          </w:tcPr>
          <w:p w14:paraId="70776F98" w14:textId="77777777" w:rsidR="008E17BC" w:rsidRDefault="00000000">
            <w:pPr>
              <w:widowControl w:val="0"/>
              <w:pBdr>
                <w:top w:val="nil"/>
                <w:left w:val="nil"/>
                <w:bottom w:val="nil"/>
                <w:right w:val="nil"/>
                <w:between w:val="nil"/>
              </w:pBdr>
              <w:spacing w:after="0"/>
              <w:ind w:left="106" w:right="10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Subtitle, if applicable</w:t>
            </w:r>
          </w:p>
        </w:tc>
        <w:tc>
          <w:tcPr>
            <w:tcW w:w="6756" w:type="dxa"/>
            <w:shd w:val="clear" w:color="auto" w:fill="F1F1F1"/>
          </w:tcPr>
          <w:p w14:paraId="31011541"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17BC" w14:paraId="749AE8D0" w14:textId="77777777">
        <w:trPr>
          <w:trHeight w:val="552"/>
        </w:trPr>
        <w:tc>
          <w:tcPr>
            <w:tcW w:w="2273" w:type="dxa"/>
          </w:tcPr>
          <w:p w14:paraId="39D33CF5" w14:textId="77777777" w:rsidR="008E17BC" w:rsidRDefault="00000000">
            <w:pPr>
              <w:widowControl w:val="0"/>
              <w:pBdr>
                <w:top w:val="nil"/>
                <w:left w:val="nil"/>
                <w:bottom w:val="nil"/>
                <w:right w:val="nil"/>
                <w:between w:val="nil"/>
              </w:pBdr>
              <w:spacing w:after="0" w:line="240" w:lineRule="auto"/>
              <w:ind w:left="106" w:right="10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if applicable</w:t>
            </w:r>
          </w:p>
        </w:tc>
        <w:tc>
          <w:tcPr>
            <w:tcW w:w="6756" w:type="dxa"/>
            <w:shd w:val="clear" w:color="auto" w:fill="F1F1F1"/>
          </w:tcPr>
          <w:p w14:paraId="77D6557F" w14:textId="77777777" w:rsidR="008E17BC"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Indonesian </w:t>
            </w:r>
            <w:proofErr w:type="gramStart"/>
            <w:r>
              <w:rPr>
                <w:rFonts w:ascii="Times New Roman" w:eastAsia="Times New Roman" w:hAnsi="Times New Roman" w:cs="Times New Roman"/>
                <w:color w:val="000000"/>
                <w:sz w:val="24"/>
                <w:szCs w:val="24"/>
              </w:rPr>
              <w:t>History</w:t>
            </w:r>
            <w:proofErr w:type="gramEnd"/>
            <w:r>
              <w:rPr>
                <w:rFonts w:ascii="Times New Roman" w:eastAsia="Times New Roman" w:hAnsi="Times New Roman" w:cs="Times New Roman"/>
                <w:color w:val="000000"/>
                <w:sz w:val="24"/>
                <w:szCs w:val="24"/>
              </w:rPr>
              <w:t xml:space="preserve"> which is taught in Social Science Education, aims to provide knowledge, understanding analysis of various historical events that occurred in Indonesia, starting in the era of the archipelago sultanate, the era of western </w:t>
            </w:r>
            <w:proofErr w:type="spellStart"/>
            <w:r>
              <w:rPr>
                <w:rFonts w:ascii="Times New Roman" w:eastAsia="Times New Roman" w:hAnsi="Times New Roman" w:cs="Times New Roman"/>
                <w:color w:val="000000"/>
                <w:sz w:val="24"/>
                <w:szCs w:val="24"/>
              </w:rPr>
              <w:t>conoliasm</w:t>
            </w:r>
            <w:proofErr w:type="spellEnd"/>
            <w:r>
              <w:rPr>
                <w:rFonts w:ascii="Times New Roman" w:eastAsia="Times New Roman" w:hAnsi="Times New Roman" w:cs="Times New Roman"/>
                <w:color w:val="000000"/>
                <w:sz w:val="24"/>
                <w:szCs w:val="24"/>
              </w:rPr>
              <w:t>, the entry of the Spanish, Portuguese, Dutch, English, Japanese</w:t>
            </w:r>
            <w:r>
              <w:rPr>
                <w:rFonts w:ascii="Times New Roman" w:eastAsia="Times New Roman" w:hAnsi="Times New Roman" w:cs="Times New Roman"/>
                <w:color w:val="000000"/>
              </w:rPr>
              <w:t>.</w:t>
            </w:r>
          </w:p>
        </w:tc>
      </w:tr>
      <w:tr w:rsidR="008E17BC" w14:paraId="732170D3" w14:textId="77777777">
        <w:trPr>
          <w:trHeight w:val="825"/>
        </w:trPr>
        <w:tc>
          <w:tcPr>
            <w:tcW w:w="2273" w:type="dxa"/>
          </w:tcPr>
          <w:p w14:paraId="75E2612E" w14:textId="77777777" w:rsidR="008E17BC" w:rsidRDefault="00000000">
            <w:pPr>
              <w:widowControl w:val="0"/>
              <w:pBdr>
                <w:top w:val="nil"/>
                <w:left w:val="nil"/>
                <w:bottom w:val="nil"/>
                <w:right w:val="nil"/>
                <w:between w:val="nil"/>
              </w:pBdr>
              <w:spacing w:after="0"/>
              <w:ind w:left="106" w:righ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Semester(s) in which the module is taught</w:t>
            </w:r>
          </w:p>
        </w:tc>
        <w:tc>
          <w:tcPr>
            <w:tcW w:w="6756" w:type="dxa"/>
            <w:shd w:val="clear" w:color="auto" w:fill="F1F1F1"/>
          </w:tcPr>
          <w:p w14:paraId="08B71807"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Odd</w:t>
            </w:r>
          </w:p>
        </w:tc>
      </w:tr>
      <w:tr w:rsidR="008E17BC" w14:paraId="271F27FA" w14:textId="77777777">
        <w:trPr>
          <w:trHeight w:val="676"/>
        </w:trPr>
        <w:tc>
          <w:tcPr>
            <w:tcW w:w="2273" w:type="dxa"/>
          </w:tcPr>
          <w:p w14:paraId="64F235E7" w14:textId="77777777" w:rsidR="008E17BC" w:rsidRDefault="00000000">
            <w:pPr>
              <w:widowControl w:val="0"/>
              <w:pBdr>
                <w:top w:val="nil"/>
                <w:left w:val="nil"/>
                <w:bottom w:val="nil"/>
                <w:right w:val="nil"/>
                <w:between w:val="nil"/>
              </w:pBdr>
              <w:spacing w:before="1" w:after="0" w:line="240" w:lineRule="auto"/>
              <w:ind w:left="106" w:right="2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 responsible for the module</w:t>
            </w:r>
          </w:p>
        </w:tc>
        <w:tc>
          <w:tcPr>
            <w:tcW w:w="6756" w:type="dxa"/>
            <w:shd w:val="clear" w:color="auto" w:fill="F1F1F1"/>
          </w:tcPr>
          <w:p w14:paraId="3B0AC472" w14:textId="77777777" w:rsidR="008E17BC"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MKDK course team</w:t>
            </w:r>
          </w:p>
        </w:tc>
      </w:tr>
      <w:tr w:rsidR="008E17BC" w14:paraId="5A243E02" w14:textId="77777777">
        <w:trPr>
          <w:trHeight w:val="342"/>
        </w:trPr>
        <w:tc>
          <w:tcPr>
            <w:tcW w:w="2273" w:type="dxa"/>
          </w:tcPr>
          <w:p w14:paraId="714D5E23"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Lecturer</w:t>
            </w:r>
          </w:p>
        </w:tc>
        <w:tc>
          <w:tcPr>
            <w:tcW w:w="6756" w:type="dxa"/>
            <w:shd w:val="clear" w:color="auto" w:fill="F1F1F1"/>
          </w:tcPr>
          <w:p w14:paraId="40214705"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Abdul Haris </w:t>
            </w:r>
            <w:proofErr w:type="spellStart"/>
            <w:r>
              <w:rPr>
                <w:rFonts w:ascii="Times New Roman" w:eastAsia="Times New Roman" w:hAnsi="Times New Roman" w:cs="Times New Roman"/>
                <w:color w:val="000000"/>
                <w:sz w:val="24"/>
                <w:szCs w:val="24"/>
              </w:rPr>
              <w:t>Fatgehipon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M.Si</w:t>
            </w:r>
            <w:proofErr w:type="spellEnd"/>
            <w:proofErr w:type="gramEnd"/>
          </w:p>
          <w:p w14:paraId="57AE70A5"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Achmad Nur </w:t>
            </w:r>
            <w:proofErr w:type="spellStart"/>
            <w:r>
              <w:rPr>
                <w:rFonts w:ascii="Times New Roman" w:eastAsia="Times New Roman" w:hAnsi="Times New Roman" w:cs="Times New Roman"/>
                <w:color w:val="000000"/>
                <w:sz w:val="24"/>
                <w:szCs w:val="24"/>
              </w:rPr>
              <w:t>Hidayaht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S.Pd</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M.Pd</w:t>
            </w:r>
            <w:proofErr w:type="spellEnd"/>
            <w:proofErr w:type="gramEnd"/>
          </w:p>
        </w:tc>
      </w:tr>
      <w:tr w:rsidR="008E17BC" w14:paraId="2DBAAEE5" w14:textId="77777777">
        <w:trPr>
          <w:trHeight w:val="345"/>
        </w:trPr>
        <w:tc>
          <w:tcPr>
            <w:tcW w:w="2273" w:type="dxa"/>
          </w:tcPr>
          <w:p w14:paraId="3B6BCB49" w14:textId="77777777" w:rsidR="008E17BC"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w:t>
            </w:r>
          </w:p>
        </w:tc>
        <w:tc>
          <w:tcPr>
            <w:tcW w:w="6756" w:type="dxa"/>
            <w:shd w:val="clear" w:color="auto" w:fill="F1F1F1"/>
          </w:tcPr>
          <w:p w14:paraId="31629353" w14:textId="77777777" w:rsidR="008E17BC"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Indonesian Language [Bahasa Indonesia]</w:t>
            </w:r>
          </w:p>
        </w:tc>
      </w:tr>
      <w:tr w:rsidR="008E17BC" w14:paraId="021A5AF6" w14:textId="77777777">
        <w:trPr>
          <w:trHeight w:val="672"/>
        </w:trPr>
        <w:tc>
          <w:tcPr>
            <w:tcW w:w="2273" w:type="dxa"/>
          </w:tcPr>
          <w:p w14:paraId="6DD45590" w14:textId="77777777" w:rsidR="008E17BC" w:rsidRDefault="00000000">
            <w:pPr>
              <w:widowControl w:val="0"/>
              <w:pBdr>
                <w:top w:val="nil"/>
                <w:left w:val="nil"/>
                <w:bottom w:val="nil"/>
                <w:right w:val="nil"/>
                <w:between w:val="nil"/>
              </w:pBdr>
              <w:spacing w:before="3" w:after="0" w:line="240" w:lineRule="auto"/>
              <w:ind w:left="106" w:right="9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Relation to Curriculum</w:t>
            </w:r>
          </w:p>
        </w:tc>
        <w:tc>
          <w:tcPr>
            <w:tcW w:w="6756" w:type="dxa"/>
            <w:shd w:val="clear" w:color="auto" w:fill="F1F1F1"/>
          </w:tcPr>
          <w:p w14:paraId="05E3755E" w14:textId="77777777" w:rsidR="008E17BC"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4F81BD"/>
                <w:sz w:val="24"/>
                <w:szCs w:val="24"/>
              </w:rPr>
            </w:pPr>
            <w:r>
              <w:rPr>
                <w:rFonts w:ascii="Times New Roman" w:eastAsia="Times New Roman" w:hAnsi="Times New Roman" w:cs="Times New Roman"/>
                <w:sz w:val="24"/>
                <w:szCs w:val="24"/>
              </w:rPr>
              <w:t xml:space="preserve">This course is offered in the </w:t>
            </w:r>
            <w:proofErr w:type="gramStart"/>
            <w:r>
              <w:rPr>
                <w:rFonts w:ascii="Times New Roman" w:eastAsia="Times New Roman" w:hAnsi="Times New Roman" w:cs="Times New Roman"/>
                <w:sz w:val="24"/>
                <w:szCs w:val="24"/>
              </w:rPr>
              <w:t>3th</w:t>
            </w:r>
            <w:proofErr w:type="gramEnd"/>
            <w:r>
              <w:rPr>
                <w:rFonts w:ascii="Times New Roman" w:eastAsia="Times New Roman" w:hAnsi="Times New Roman" w:cs="Times New Roman"/>
                <w:sz w:val="24"/>
                <w:szCs w:val="24"/>
              </w:rPr>
              <w:t xml:space="preserve"> semester.</w:t>
            </w:r>
          </w:p>
        </w:tc>
      </w:tr>
      <w:tr w:rsidR="008E17BC" w14:paraId="383B7A10" w14:textId="77777777">
        <w:trPr>
          <w:trHeight w:val="2206"/>
        </w:trPr>
        <w:tc>
          <w:tcPr>
            <w:tcW w:w="2273" w:type="dxa"/>
          </w:tcPr>
          <w:p w14:paraId="4820519B" w14:textId="77777777" w:rsidR="008E17BC" w:rsidRDefault="00000000">
            <w:pPr>
              <w:widowControl w:val="0"/>
              <w:pBdr>
                <w:top w:val="nil"/>
                <w:left w:val="nil"/>
                <w:bottom w:val="nil"/>
                <w:right w:val="nil"/>
                <w:between w:val="nil"/>
              </w:pBdr>
              <w:spacing w:after="0" w:line="240" w:lineRule="auto"/>
              <w:ind w:left="106" w:right="3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teaching, contact hours</w:t>
            </w:r>
          </w:p>
        </w:tc>
        <w:tc>
          <w:tcPr>
            <w:tcW w:w="6756" w:type="dxa"/>
            <w:shd w:val="clear" w:color="auto" w:fill="F1F1F1"/>
          </w:tcPr>
          <w:p w14:paraId="1AE770AB"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methods used in this course are:</w:t>
            </w:r>
          </w:p>
          <w:p w14:paraId="3BDA13EF" w14:textId="77777777" w:rsidR="008E17BC"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Metode question and answer, lecturers provide subject matter and lecturers open question and answer opportunities, so that communication in lectures is </w:t>
            </w:r>
            <w:r>
              <w:rPr>
                <w:rFonts w:ascii="Times New Roman" w:eastAsia="Times New Roman" w:hAnsi="Times New Roman" w:cs="Times New Roman"/>
                <w:i/>
                <w:sz w:val="24"/>
                <w:szCs w:val="24"/>
              </w:rPr>
              <w:t>two-way traffic</w:t>
            </w:r>
            <w:r>
              <w:rPr>
                <w:rFonts w:ascii="Times New Roman" w:eastAsia="Times New Roman" w:hAnsi="Times New Roman" w:cs="Times New Roman"/>
                <w:sz w:val="24"/>
                <w:szCs w:val="24"/>
              </w:rPr>
              <w:t>.</w:t>
            </w:r>
          </w:p>
        </w:tc>
      </w:tr>
      <w:tr w:rsidR="008E17BC" w14:paraId="23D7157B" w14:textId="77777777">
        <w:trPr>
          <w:trHeight w:val="1658"/>
        </w:trPr>
        <w:tc>
          <w:tcPr>
            <w:tcW w:w="2273" w:type="dxa"/>
          </w:tcPr>
          <w:p w14:paraId="5CC6812A" w14:textId="77777777" w:rsidR="008E17BC" w:rsidRDefault="00000000">
            <w:pPr>
              <w:widowControl w:val="0"/>
              <w:pBdr>
                <w:top w:val="nil"/>
                <w:left w:val="nil"/>
                <w:bottom w:val="nil"/>
                <w:right w:val="nil"/>
                <w:between w:val="nil"/>
              </w:pBdr>
              <w:spacing w:before="3" w:after="0" w:line="240" w:lineRule="auto"/>
              <w:ind w:left="1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Workload</w:t>
            </w:r>
          </w:p>
        </w:tc>
        <w:tc>
          <w:tcPr>
            <w:tcW w:w="6756" w:type="dxa"/>
            <w:shd w:val="clear" w:color="auto" w:fill="F1F1F1"/>
          </w:tcPr>
          <w:p w14:paraId="465621CB"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715B340C" w14:textId="77777777" w:rsidR="008E17BC" w:rsidRDefault="00000000">
            <w:pPr>
              <w:widowControl w:val="0"/>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Students are required to meet a minimum of 91 hours in one semester, which consist of: </w:t>
            </w:r>
          </w:p>
          <w:p w14:paraId="52E89F41"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413253DC" w14:textId="77777777" w:rsidR="008E17BC" w:rsidRDefault="00000000">
            <w:pPr>
              <w:widowControl w:val="0"/>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27 hours for </w:t>
            </w:r>
            <w:proofErr w:type="gramStart"/>
            <w:r>
              <w:rPr>
                <w:rFonts w:ascii="Times New Roman" w:eastAsia="Times New Roman" w:hAnsi="Times New Roman" w:cs="Times New Roman"/>
              </w:rPr>
              <w:t>lecture;</w:t>
            </w:r>
            <w:proofErr w:type="gramEnd"/>
            <w:r>
              <w:rPr>
                <w:rFonts w:ascii="Times New Roman" w:eastAsia="Times New Roman" w:hAnsi="Times New Roman" w:cs="Times New Roman"/>
              </w:rPr>
              <w:t xml:space="preserve"> </w:t>
            </w:r>
          </w:p>
          <w:p w14:paraId="42C7F131"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0B7CCF94" w14:textId="77777777" w:rsidR="008E17BC" w:rsidRDefault="00000000">
            <w:pPr>
              <w:widowControl w:val="0"/>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32 hours for structured </w:t>
            </w:r>
            <w:proofErr w:type="gramStart"/>
            <w:r>
              <w:rPr>
                <w:rFonts w:ascii="Times New Roman" w:eastAsia="Times New Roman" w:hAnsi="Times New Roman" w:cs="Times New Roman"/>
              </w:rPr>
              <w:t>assignments;</w:t>
            </w:r>
            <w:proofErr w:type="gramEnd"/>
            <w:r>
              <w:rPr>
                <w:rFonts w:ascii="Times New Roman" w:eastAsia="Times New Roman" w:hAnsi="Times New Roman" w:cs="Times New Roman"/>
              </w:rPr>
              <w:t xml:space="preserve"> </w:t>
            </w:r>
          </w:p>
          <w:p w14:paraId="4E340E06"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3E0ACAEE" w14:textId="77777777" w:rsidR="008E17BC" w:rsidRDefault="00000000">
            <w:pPr>
              <w:widowControl w:val="0"/>
              <w:pBdr>
                <w:top w:val="nil"/>
                <w:left w:val="nil"/>
                <w:bottom w:val="nil"/>
                <w:right w:val="nil"/>
                <w:between w:val="nil"/>
              </w:pBdr>
              <w:spacing w:after="0"/>
              <w:ind w:left="720"/>
              <w:rPr>
                <w:rFonts w:ascii="Times New Roman" w:eastAsia="Times New Roman" w:hAnsi="Times New Roman" w:cs="Times New Roman"/>
              </w:rPr>
            </w:pPr>
            <w:r>
              <w:rPr>
                <w:rFonts w:ascii="Times New Roman" w:eastAsia="Times New Roman" w:hAnsi="Times New Roman" w:cs="Times New Roman"/>
              </w:rPr>
              <w:t xml:space="preserve">32 hours for individual study. </w:t>
            </w:r>
          </w:p>
          <w:p w14:paraId="3F17E2A1"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125E0FFC"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3D97F3B0"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p w14:paraId="096C892C" w14:textId="77777777" w:rsidR="008E17BC" w:rsidRDefault="008E17BC">
            <w:pPr>
              <w:widowControl w:val="0"/>
              <w:pBdr>
                <w:top w:val="nil"/>
                <w:left w:val="nil"/>
                <w:bottom w:val="nil"/>
                <w:right w:val="nil"/>
                <w:between w:val="nil"/>
              </w:pBdr>
              <w:spacing w:after="0"/>
              <w:ind w:left="720"/>
              <w:rPr>
                <w:rFonts w:ascii="Times New Roman" w:eastAsia="Times New Roman" w:hAnsi="Times New Roman" w:cs="Times New Roman"/>
              </w:rPr>
            </w:pPr>
          </w:p>
        </w:tc>
      </w:tr>
      <w:tr w:rsidR="008E17BC" w14:paraId="0477BB7E" w14:textId="77777777">
        <w:trPr>
          <w:trHeight w:val="345"/>
        </w:trPr>
        <w:tc>
          <w:tcPr>
            <w:tcW w:w="2273" w:type="dxa"/>
          </w:tcPr>
          <w:p w14:paraId="0D5FE7E1" w14:textId="77777777" w:rsidR="008E17BC"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 points</w:t>
            </w:r>
          </w:p>
        </w:tc>
        <w:tc>
          <w:tcPr>
            <w:tcW w:w="6756" w:type="dxa"/>
            <w:shd w:val="clear" w:color="auto" w:fill="F1F1F1"/>
          </w:tcPr>
          <w:p w14:paraId="334F4E33" w14:textId="77777777" w:rsidR="008E17BC" w:rsidRDefault="00000000">
            <w:pPr>
              <w:spacing w:after="0"/>
              <w:ind w:left="106"/>
              <w:rPr>
                <w:rFonts w:ascii="Times New Roman" w:eastAsia="Times New Roman" w:hAnsi="Times New Roman" w:cs="Times New Roman"/>
              </w:rPr>
            </w:pPr>
            <w:r>
              <w:rPr>
                <w:rFonts w:ascii="Times New Roman" w:eastAsia="Times New Roman" w:hAnsi="Times New Roman" w:cs="Times New Roman"/>
              </w:rPr>
              <w:t>2 credit points (equivalent with 3 ECTS)</w:t>
            </w:r>
          </w:p>
        </w:tc>
      </w:tr>
      <w:tr w:rsidR="008E17BC" w14:paraId="6EC3414C" w14:textId="77777777">
        <w:trPr>
          <w:trHeight w:val="1102"/>
        </w:trPr>
        <w:tc>
          <w:tcPr>
            <w:tcW w:w="2273" w:type="dxa"/>
          </w:tcPr>
          <w:p w14:paraId="006096C3" w14:textId="77777777" w:rsidR="008E17BC" w:rsidRDefault="00000000">
            <w:pPr>
              <w:widowControl w:val="0"/>
              <w:pBdr>
                <w:top w:val="nil"/>
                <w:left w:val="nil"/>
                <w:bottom w:val="nil"/>
                <w:right w:val="nil"/>
                <w:between w:val="nil"/>
              </w:pBdr>
              <w:spacing w:after="0" w:line="240" w:lineRule="auto"/>
              <w:ind w:left="106" w:right="4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Requirements according to the examination</w:t>
            </w:r>
          </w:p>
          <w:p w14:paraId="14845CFB" w14:textId="77777777" w:rsidR="008E17BC" w:rsidRDefault="00000000">
            <w:pPr>
              <w:widowControl w:val="0"/>
              <w:pBdr>
                <w:top w:val="nil"/>
                <w:left w:val="nil"/>
                <w:bottom w:val="nil"/>
                <w:right w:val="nil"/>
                <w:between w:val="nil"/>
              </w:pBdr>
              <w:spacing w:after="0" w:line="25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w:t>
            </w:r>
          </w:p>
        </w:tc>
        <w:tc>
          <w:tcPr>
            <w:tcW w:w="6756" w:type="dxa"/>
            <w:shd w:val="clear" w:color="auto" w:fill="F1F1F1"/>
          </w:tcPr>
          <w:p w14:paraId="34EFCE1F" w14:textId="77777777" w:rsidR="008E17BC"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must attend all classes and submit all scheduled classwork before the final exam.</w:t>
            </w:r>
          </w:p>
        </w:tc>
      </w:tr>
      <w:tr w:rsidR="008E17BC" w14:paraId="0AF6E5E0" w14:textId="77777777">
        <w:trPr>
          <w:trHeight w:val="673"/>
        </w:trPr>
        <w:tc>
          <w:tcPr>
            <w:tcW w:w="2273" w:type="dxa"/>
          </w:tcPr>
          <w:p w14:paraId="53AD024F" w14:textId="77777777" w:rsidR="008E17BC" w:rsidRDefault="00000000">
            <w:pPr>
              <w:widowControl w:val="0"/>
              <w:pBdr>
                <w:top w:val="nil"/>
                <w:left w:val="nil"/>
                <w:bottom w:val="nil"/>
                <w:right w:val="nil"/>
                <w:between w:val="nil"/>
              </w:pBdr>
              <w:spacing w:before="3" w:after="0" w:line="240" w:lineRule="auto"/>
              <w:ind w:left="106" w:right="6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Recommended prerequisites</w:t>
            </w:r>
          </w:p>
        </w:tc>
        <w:tc>
          <w:tcPr>
            <w:tcW w:w="6756" w:type="dxa"/>
            <w:shd w:val="clear" w:color="auto" w:fill="F1F1F1"/>
          </w:tcPr>
          <w:p w14:paraId="2F3E7AB9" w14:textId="77777777" w:rsidR="008E17BC"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not allowed more than 3 times and collect assignments before the implementation of the final semester exam.</w:t>
            </w:r>
          </w:p>
        </w:tc>
      </w:tr>
      <w:tr w:rsidR="008E17BC" w14:paraId="6D1C8710" w14:textId="77777777">
        <w:trPr>
          <w:trHeight w:val="1950"/>
        </w:trPr>
        <w:tc>
          <w:tcPr>
            <w:tcW w:w="2273" w:type="dxa"/>
          </w:tcPr>
          <w:p w14:paraId="3CDD6D9C"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objectives/intended learning outcomes</w:t>
            </w:r>
          </w:p>
        </w:tc>
        <w:tc>
          <w:tcPr>
            <w:tcW w:w="6756" w:type="dxa"/>
            <w:shd w:val="clear" w:color="auto" w:fill="F1F1F1"/>
          </w:tcPr>
          <w:p w14:paraId="15C2CC19" w14:textId="77777777" w:rsidR="008E17B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Able to plan, implement, and evaluate curricular, co-curricular, and extracurricular learning using an active learning approach with various learning resources, IT-based learning media, and the potential of the local environment, in accordance with quality processes and standards. Able to learn and develop various learning methods that have been provided and tested innovatively.</w:t>
            </w:r>
          </w:p>
        </w:tc>
      </w:tr>
      <w:tr w:rsidR="008E17BC" w14:paraId="791BCD31"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7A76628D"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2AAFB13D" w14:textId="77777777" w:rsidR="008E17B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about:</w:t>
            </w:r>
          </w:p>
          <w:p w14:paraId="312F27EF" w14:textId="77777777" w:rsidR="008E17BC"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F0F5F"/>
                <w:sz w:val="24"/>
                <w:szCs w:val="24"/>
              </w:rPr>
              <w:t>Able to apply logical, critical, systematic, and innovative thinking in the context of developing or implementing educational science that pays attention to and applies humanities values in accordance with their field of expertise;</w:t>
            </w:r>
          </w:p>
        </w:tc>
      </w:tr>
      <w:tr w:rsidR="008E17BC" w14:paraId="166B03E3"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3A9BDB0B"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Forms of Assessment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082F13C9" w14:textId="77777777" w:rsidR="008E17BC" w:rsidRDefault="00000000">
            <w:pPr>
              <w:spacing w:after="0"/>
              <w:ind w:right="102"/>
              <w:rPr>
                <w:rFonts w:ascii="Times New Roman" w:eastAsia="Times New Roman" w:hAnsi="Times New Roman" w:cs="Times New Roman"/>
              </w:rPr>
            </w:pPr>
            <w:r>
              <w:rPr>
                <w:rFonts w:ascii="Times New Roman" w:eastAsia="Times New Roman" w:hAnsi="Times New Roman" w:cs="Times New Roman"/>
                <w:sz w:val="24"/>
                <w:szCs w:val="24"/>
              </w:rPr>
              <w:t>The assessment of this course includes:</w:t>
            </w:r>
          </w:p>
          <w:p w14:paraId="1116B0E2" w14:textId="77777777" w:rsidR="008E17BC"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Attitude 20% </w:t>
            </w:r>
          </w:p>
          <w:p w14:paraId="2E8C7DAF" w14:textId="77777777" w:rsidR="008E17BC"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General skills 20%</w:t>
            </w:r>
          </w:p>
          <w:p w14:paraId="5EBE6329" w14:textId="77777777" w:rsidR="008E17BC"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Specific skills 25% </w:t>
            </w:r>
          </w:p>
          <w:p w14:paraId="48EF0BC3" w14:textId="77777777" w:rsidR="008E17BC"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knowledge 35%</w:t>
            </w:r>
          </w:p>
          <w:p w14:paraId="15A318F3" w14:textId="77777777" w:rsidR="008E17BC" w:rsidRDefault="008E17BC">
            <w:pPr>
              <w:spacing w:after="0"/>
              <w:ind w:left="818" w:hanging="360"/>
              <w:rPr>
                <w:rFonts w:ascii="Times New Roman" w:eastAsia="Times New Roman" w:hAnsi="Times New Roman" w:cs="Times New Roman"/>
              </w:rPr>
            </w:pPr>
          </w:p>
          <w:p w14:paraId="2D00E557" w14:textId="77777777" w:rsidR="008E17BC" w:rsidRDefault="008E17BC">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8E17BC" w14:paraId="6A7FC0C0"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2280E7AB"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and examination requirements and forms of examination</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46445A8C" w14:textId="77777777" w:rsidR="008E17B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and examination requirements:</w:t>
            </w:r>
          </w:p>
          <w:p w14:paraId="47527504" w14:textId="77777777" w:rsidR="008E17BC"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College students are not allowed to arrive late. Delay tolerance is 10 minutes. If they pass the delay tolerance, students are not allowed to take the exam.</w:t>
            </w:r>
          </w:p>
          <w:p w14:paraId="415FF138" w14:textId="77777777" w:rsidR="008E17BC"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are required to notify the lecturer if they are not present at class due to illness, etc.</w:t>
            </w:r>
          </w:p>
          <w:p w14:paraId="18B5D839" w14:textId="77777777" w:rsidR="008E17BC"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must submit all classwork before the deadline.</w:t>
            </w:r>
          </w:p>
          <w:p w14:paraId="1334C53F" w14:textId="77777777" w:rsidR="008E17BC"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must take the exam to get the final grade. </w:t>
            </w:r>
          </w:p>
        </w:tc>
      </w:tr>
      <w:tr w:rsidR="008E17BC" w14:paraId="7D530D3C"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42126ECD"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employed</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58317B46" w14:textId="77777777" w:rsidR="008E17BC" w:rsidRDefault="00000000">
            <w:pPr>
              <w:jc w:val="both"/>
              <w:rPr>
                <w:rFonts w:ascii="Times New Roman" w:eastAsia="Times New Roman" w:hAnsi="Times New Roman" w:cs="Times New Roman"/>
                <w:sz w:val="24"/>
                <w:szCs w:val="24"/>
              </w:rPr>
            </w:pPr>
            <w:r>
              <w:rPr>
                <w:i/>
              </w:rPr>
              <w:t xml:space="preserve">LMS, Zoom, Google Classroom, Google Meet, Microsoft Teams, </w:t>
            </w:r>
            <w:proofErr w:type="spellStart"/>
            <w:r>
              <w:rPr>
                <w:i/>
              </w:rPr>
              <w:t>Whatsapp</w:t>
            </w:r>
            <w:proofErr w:type="spellEnd"/>
          </w:p>
        </w:tc>
      </w:tr>
      <w:tr w:rsidR="008E17BC" w14:paraId="62D3C3AF"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762FAAB5" w14:textId="77777777" w:rsidR="008E17BC"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1DB4E1F5"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AH Nasution, Around the Indonesian War of Independence, Bandung, Angkasa, 1978</w:t>
            </w:r>
          </w:p>
          <w:p w14:paraId="3F4D45C0"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rPr>
              <w:t xml:space="preserve">2. Bernard </w:t>
            </w:r>
            <w:r>
              <w:rPr>
                <w:rFonts w:ascii="Times New Roman" w:eastAsia="Times New Roman" w:hAnsi="Times New Roman" w:cs="Times New Roman"/>
                <w:sz w:val="24"/>
                <w:szCs w:val="24"/>
              </w:rPr>
              <w:t>H.M</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Vlekke</w:t>
            </w:r>
            <w:proofErr w:type="spellEnd"/>
            <w:r>
              <w:rPr>
                <w:rFonts w:ascii="Times New Roman" w:eastAsia="Times New Roman" w:hAnsi="Times New Roman" w:cs="Times New Roman"/>
                <w:sz w:val="24"/>
                <w:szCs w:val="24"/>
              </w:rPr>
              <w:t xml:space="preserve">, Sejara </w:t>
            </w:r>
            <w:proofErr w:type="spellStart"/>
            <w:r>
              <w:rPr>
                <w:rFonts w:ascii="Times New Roman" w:eastAsia="Times New Roman" w:hAnsi="Times New Roman" w:cs="Times New Roman"/>
                <w:sz w:val="24"/>
                <w:szCs w:val="24"/>
              </w:rPr>
              <w:t>NusantaraIndonesia</w:t>
            </w:r>
            <w:proofErr w:type="spellEnd"/>
            <w:r>
              <w:rPr>
                <w:rFonts w:ascii="Times New Roman" w:eastAsia="Times New Roman" w:hAnsi="Times New Roman" w:cs="Times New Roman"/>
                <w:sz w:val="24"/>
                <w:szCs w:val="24"/>
              </w:rPr>
              <w:t>, Jakarta, Gramedia Popular Decree 2016</w:t>
            </w:r>
          </w:p>
          <w:p w14:paraId="1279B71C"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Greg Barton, Gus Dur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Authorized Biography of Abdurrahman Wahid, Jakarta LKIS, 2002</w:t>
            </w:r>
          </w:p>
          <w:p w14:paraId="62727746"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TNI </w:t>
            </w:r>
            <w:r>
              <w:rPr>
                <w:rFonts w:ascii="Times New Roman" w:eastAsia="Times New Roman" w:hAnsi="Times New Roman" w:cs="Times New Roman"/>
                <w:sz w:val="24"/>
                <w:szCs w:val="24"/>
              </w:rPr>
              <w:t>Headquarters, History of TNI 1-V, Mabes, Jakarta, 2000</w:t>
            </w:r>
          </w:p>
          <w:p w14:paraId="5C56AAEB"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Kuntowijoyo</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Historical Science </w:t>
            </w:r>
            <w:proofErr w:type="gramStart"/>
            <w:r>
              <w:rPr>
                <w:rFonts w:ascii="Times New Roman" w:eastAsia="Times New Roman" w:hAnsi="Times New Roman" w:cs="Times New Roman"/>
                <w:sz w:val="24"/>
                <w:szCs w:val="24"/>
              </w:rPr>
              <w:t>Ushers .</w:t>
            </w:r>
            <w:proofErr w:type="gramEnd"/>
            <w:r>
              <w:rPr>
                <w:rFonts w:ascii="Times New Roman" w:eastAsia="Times New Roman" w:hAnsi="Times New Roman" w:cs="Times New Roman"/>
                <w:sz w:val="24"/>
                <w:szCs w:val="24"/>
              </w:rPr>
              <w:t xml:space="preserve"> Jakarta: Tiara Discourse, 2013</w:t>
            </w:r>
          </w:p>
          <w:p w14:paraId="03E7E832"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rPr>
              <w:t xml:space="preserve">6. Nugroho </w:t>
            </w:r>
            <w:proofErr w:type="spellStart"/>
            <w:r>
              <w:rPr>
                <w:rFonts w:ascii="Times New Roman" w:eastAsia="Times New Roman" w:hAnsi="Times New Roman" w:cs="Times New Roman"/>
              </w:rPr>
              <w:t>Notosusanto</w:t>
            </w:r>
            <w:proofErr w:type="spellEnd"/>
            <w:r>
              <w:rPr>
                <w:rFonts w:ascii="Times New Roman" w:eastAsia="Times New Roman" w:hAnsi="Times New Roman" w:cs="Times New Roman"/>
              </w:rPr>
              <w:t>, Fighter and Soldier</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Jakarta. Ray of Hope.1981</w:t>
            </w:r>
          </w:p>
          <w:p w14:paraId="72C36C13"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Saafroein</w:t>
            </w:r>
            <w:proofErr w:type="spellEnd"/>
            <w:r>
              <w:rPr>
                <w:rFonts w:ascii="Times New Roman" w:eastAsia="Times New Roman" w:hAnsi="Times New Roman" w:cs="Times New Roman"/>
                <w:sz w:val="24"/>
                <w:szCs w:val="24"/>
              </w:rPr>
              <w:t xml:space="preserve"> Bahar, &amp; Nannie </w:t>
            </w:r>
            <w:proofErr w:type="spellStart"/>
            <w:r>
              <w:rPr>
                <w:rFonts w:ascii="Times New Roman" w:eastAsia="Times New Roman" w:hAnsi="Times New Roman" w:cs="Times New Roman"/>
                <w:sz w:val="24"/>
                <w:szCs w:val="24"/>
              </w:rPr>
              <w:t>Hudawati</w:t>
            </w:r>
            <w:proofErr w:type="spellEnd"/>
            <w:r>
              <w:rPr>
                <w:rFonts w:ascii="Times New Roman" w:eastAsia="Times New Roman" w:hAnsi="Times New Roman" w:cs="Times New Roman"/>
                <w:sz w:val="24"/>
                <w:szCs w:val="24"/>
              </w:rPr>
              <w:t xml:space="preserve">, Minutes of the Session of the Investigating Agency for the Preparatory Business of Indonesian Independence, Jakarta, </w:t>
            </w:r>
            <w:proofErr w:type="spellStart"/>
            <w:r>
              <w:rPr>
                <w:rFonts w:ascii="Times New Roman" w:eastAsia="Times New Roman" w:hAnsi="Times New Roman" w:cs="Times New Roman"/>
                <w:sz w:val="24"/>
                <w:szCs w:val="24"/>
              </w:rPr>
              <w:t>Sekneg</w:t>
            </w:r>
            <w:proofErr w:type="spellEnd"/>
            <w:r>
              <w:rPr>
                <w:rFonts w:ascii="Times New Roman" w:eastAsia="Times New Roman" w:hAnsi="Times New Roman" w:cs="Times New Roman"/>
                <w:sz w:val="24"/>
                <w:szCs w:val="24"/>
              </w:rPr>
              <w:t>, 1998</w:t>
            </w:r>
          </w:p>
          <w:p w14:paraId="4E1611A8"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sz w:val="24"/>
                <w:szCs w:val="24"/>
              </w:rPr>
              <w:t xml:space="preserve">M Adnan Amal </w:t>
            </w:r>
            <w:proofErr w:type="spellStart"/>
            <w:r>
              <w:rPr>
                <w:rFonts w:ascii="Times New Roman" w:eastAsia="Times New Roman" w:hAnsi="Times New Roman" w:cs="Times New Roman"/>
                <w:sz w:val="24"/>
                <w:szCs w:val="24"/>
              </w:rPr>
              <w:t>Kepuluan</w:t>
            </w:r>
            <w:proofErr w:type="spellEnd"/>
            <w:r>
              <w:rPr>
                <w:rFonts w:ascii="Times New Roman" w:eastAsia="Times New Roman" w:hAnsi="Times New Roman" w:cs="Times New Roman"/>
                <w:sz w:val="24"/>
                <w:szCs w:val="24"/>
              </w:rPr>
              <w:t xml:space="preserve"> Remah </w:t>
            </w:r>
            <w:proofErr w:type="spellStart"/>
            <w:r>
              <w:rPr>
                <w:rFonts w:ascii="Times New Roman" w:eastAsia="Times New Roman" w:hAnsi="Times New Roman" w:cs="Times New Roman"/>
                <w:sz w:val="24"/>
                <w:szCs w:val="24"/>
              </w:rPr>
              <w:t>Rempah</w:t>
            </w:r>
            <w:proofErr w:type="spellEnd"/>
            <w:r>
              <w:rPr>
                <w:rFonts w:ascii="Times New Roman" w:eastAsia="Times New Roman" w:hAnsi="Times New Roman" w:cs="Times New Roman"/>
                <w:sz w:val="24"/>
                <w:szCs w:val="24"/>
              </w:rPr>
              <w:t xml:space="preserve">, Jakarta, Gramedia Popular Decision, 2002. </w:t>
            </w:r>
          </w:p>
          <w:p w14:paraId="3FB04481"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Azumardi</w:t>
            </w:r>
            <w:proofErr w:type="spellEnd"/>
            <w:r>
              <w:rPr>
                <w:rFonts w:ascii="Times New Roman" w:eastAsia="Times New Roman" w:hAnsi="Times New Roman" w:cs="Times New Roman"/>
                <w:sz w:val="24"/>
                <w:szCs w:val="24"/>
              </w:rPr>
              <w:t xml:space="preserve"> Azra Historiography of Contemporary Islam, Jakarta, Gramedia2002</w:t>
            </w:r>
          </w:p>
          <w:p w14:paraId="6840E6F9"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Peter Beilharz, Social Theory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Yogyakarta, Student Library, 2003</w:t>
            </w:r>
          </w:p>
          <w:p w14:paraId="1CE9BDB1"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Susanto </w:t>
            </w:r>
            <w:proofErr w:type="spellStart"/>
            <w:r>
              <w:rPr>
                <w:rFonts w:ascii="Times New Roman" w:eastAsia="Times New Roman" w:hAnsi="Times New Roman" w:cs="Times New Roman"/>
                <w:sz w:val="24"/>
                <w:szCs w:val="24"/>
              </w:rPr>
              <w:t>Zuhdi</w:t>
            </w:r>
            <w:proofErr w:type="spellEnd"/>
            <w:r>
              <w:rPr>
                <w:rFonts w:ascii="Times New Roman" w:eastAsia="Times New Roman" w:hAnsi="Times New Roman" w:cs="Times New Roman"/>
                <w:sz w:val="24"/>
                <w:szCs w:val="24"/>
              </w:rPr>
              <w:t>, Marine Nationalism and History, Jakarta, Bamboo Community 2014</w:t>
            </w:r>
          </w:p>
          <w:p w14:paraId="4E1F03F8" w14:textId="77777777" w:rsidR="008E17BC" w:rsidRDefault="00000000">
            <w:pPr>
              <w:spacing w:after="0"/>
              <w:ind w:left="519" w:hanging="426"/>
              <w:rPr>
                <w:rFonts w:ascii="Times New Roman" w:eastAsia="Times New Roman" w:hAnsi="Times New Roman" w:cs="Times New Roman"/>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Robert Van Niel, The Emergence of Modern Elites in Indonesia, Jakarta, Pustaka Jaya, 1984</w:t>
            </w:r>
          </w:p>
          <w:p w14:paraId="16E824AD" w14:textId="77777777" w:rsidR="008E17BC" w:rsidRDefault="00000000">
            <w:pPr>
              <w:shd w:val="clear" w:color="auto" w:fill="F0F0A0"/>
              <w:spacing w:after="0"/>
              <w:ind w:left="519" w:hanging="426"/>
              <w:rPr>
                <w:rFonts w:ascii="Times New Roman" w:eastAsia="Times New Roman" w:hAnsi="Times New Roman" w:cs="Times New Roman"/>
                <w:color w:val="0F0F5F"/>
              </w:rPr>
            </w:pPr>
            <w:bookmarkStart w:id="0" w:name="_heading=h.gjdgxs" w:colFirst="0" w:colLast="0"/>
            <w:bookmarkEnd w:id="0"/>
            <w:r>
              <w:rPr>
                <w:rFonts w:ascii="Times New Roman" w:eastAsia="Times New Roman" w:hAnsi="Times New Roman" w:cs="Times New Roman"/>
                <w:b/>
                <w:color w:val="0F0F5F"/>
              </w:rPr>
              <w:t>13.</w:t>
            </w:r>
            <w:r>
              <w:rPr>
                <w:rFonts w:ascii="Times New Roman" w:eastAsia="Times New Roman" w:hAnsi="Times New Roman" w:cs="Times New Roman"/>
                <w:b/>
                <w:color w:val="0F0F5F"/>
                <w:sz w:val="14"/>
                <w:szCs w:val="14"/>
              </w:rPr>
              <w:t xml:space="preserve"> </w:t>
            </w:r>
            <w:r>
              <w:rPr>
                <w:rFonts w:ascii="Times New Roman" w:eastAsia="Times New Roman" w:hAnsi="Times New Roman" w:cs="Times New Roman"/>
                <w:color w:val="0F0F5F"/>
                <w:sz w:val="24"/>
                <w:szCs w:val="24"/>
              </w:rPr>
              <w:t>Herbert Feith, Public Literature 1955, Jakarta, Gramedia Popular Literature, 1999,</w:t>
            </w:r>
          </w:p>
        </w:tc>
      </w:tr>
    </w:tbl>
    <w:p w14:paraId="7106EB4F" w14:textId="77777777" w:rsidR="008E17BC" w:rsidRDefault="008E17BC"/>
    <w:sectPr w:rsidR="008E17B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BC"/>
    <w:rsid w:val="002058F1"/>
    <w:rsid w:val="0060488B"/>
    <w:rsid w:val="008E17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21D8"/>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qFormat/>
    <w:rsid w:val="0052693F"/>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aliases w:val="Body of text,List Paragraph1,List Paragraph1CxSpLast"/>
    <w:basedOn w:val="Normal"/>
    <w:link w:val="ListParagraphChar"/>
    <w:qFormat/>
    <w:rsid w:val="0052693F"/>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NoSpacing">
    <w:name w:val="No Spacing"/>
    <w:link w:val="NoSpacingChar"/>
    <w:qFormat/>
    <w:rsid w:val="0052693F"/>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rsid w:val="0052693F"/>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List Paragraph1CxSpLast Char"/>
    <w:link w:val="ListParagraph"/>
    <w:rsid w:val="0052693F"/>
    <w:rPr>
      <w:rFonts w:ascii="Times New Roman" w:eastAsia="Times New Roman" w:hAnsi="Times New Roman"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mcvW6m9YEqItO7nHsJFSVN7Gg==">AMUW2mX1ZW1Tl+lqYLOvXm8YAYnNDdtelgDiYiqN7lUSvUvaecXP5i1g8Qlad4wuWT2MjsRLxorDQ9NEMNKPiUCpERSijNYYLy2DZ75x+BGOC+sQqioEezsNFAX3z1t9SiTMurHc032X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Saipiatuddin</cp:lastModifiedBy>
  <cp:revision>2</cp:revision>
  <dcterms:created xsi:type="dcterms:W3CDTF">2024-02-12T03:51:00Z</dcterms:created>
  <dcterms:modified xsi:type="dcterms:W3CDTF">2024-02-12T03:51:00Z</dcterms:modified>
</cp:coreProperties>
</file>