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973" w14:textId="77777777" w:rsidR="008A017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Modul Description</w:t>
      </w:r>
    </w:p>
    <w:tbl>
      <w:tblPr>
        <w:tblStyle w:val="a"/>
        <w:tblW w:w="9029"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756"/>
      </w:tblGrid>
      <w:tr w:rsidR="008A0174" w14:paraId="230FE2D2" w14:textId="77777777">
        <w:trPr>
          <w:trHeight w:val="345"/>
        </w:trPr>
        <w:tc>
          <w:tcPr>
            <w:tcW w:w="2273" w:type="dxa"/>
          </w:tcPr>
          <w:p w14:paraId="06CC7AB2"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name</w:t>
            </w:r>
          </w:p>
        </w:tc>
        <w:tc>
          <w:tcPr>
            <w:tcW w:w="6756" w:type="dxa"/>
            <w:shd w:val="clear" w:color="auto" w:fill="F1F1F1"/>
          </w:tcPr>
          <w:p w14:paraId="6D8BB0F0" w14:textId="7D297F2B" w:rsidR="008A0174" w:rsidRDefault="004210B3">
            <w:pPr>
              <w:widowControl w:val="0"/>
              <w:pBdr>
                <w:top w:val="nil"/>
                <w:left w:val="nil"/>
                <w:bottom w:val="nil"/>
                <w:right w:val="nil"/>
                <w:between w:val="nil"/>
              </w:pBdr>
              <w:tabs>
                <w:tab w:val="left" w:pos="2763"/>
              </w:tabs>
              <w:spacing w:after="0" w:line="275" w:lineRule="auto"/>
              <w:ind w:left="106"/>
              <w:rPr>
                <w:rFonts w:ascii="Times New Roman" w:eastAsia="Times New Roman" w:hAnsi="Times New Roman" w:cs="Times New Roman"/>
                <w:color w:val="000000"/>
                <w:sz w:val="24"/>
                <w:szCs w:val="24"/>
              </w:rPr>
            </w:pPr>
            <w:r w:rsidRPr="004210B3">
              <w:rPr>
                <w:rFonts w:ascii="Times New Roman" w:eastAsia="Times New Roman" w:hAnsi="Times New Roman" w:cs="Times New Roman"/>
                <w:color w:val="000000"/>
                <w:sz w:val="24"/>
                <w:szCs w:val="24"/>
              </w:rPr>
              <w:t>Indonesian Legal System</w:t>
            </w:r>
          </w:p>
        </w:tc>
      </w:tr>
      <w:tr w:rsidR="008A0174" w14:paraId="6D0C97F7" w14:textId="77777777">
        <w:trPr>
          <w:trHeight w:val="549"/>
        </w:trPr>
        <w:tc>
          <w:tcPr>
            <w:tcW w:w="2273" w:type="dxa"/>
          </w:tcPr>
          <w:p w14:paraId="337D610A" w14:textId="77777777" w:rsidR="008A0174" w:rsidRDefault="00000000">
            <w:pPr>
              <w:widowControl w:val="0"/>
              <w:pBdr>
                <w:top w:val="nil"/>
                <w:left w:val="nil"/>
                <w:bottom w:val="nil"/>
                <w:right w:val="nil"/>
                <w:between w:val="nil"/>
              </w:pBdr>
              <w:spacing w:after="0"/>
              <w:ind w:left="106" w:right="5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level, if applicable</w:t>
            </w:r>
          </w:p>
        </w:tc>
        <w:tc>
          <w:tcPr>
            <w:tcW w:w="6756" w:type="dxa"/>
            <w:shd w:val="clear" w:color="auto" w:fill="F1F1F1"/>
          </w:tcPr>
          <w:p w14:paraId="6C0092CC"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w:t>
            </w:r>
          </w:p>
        </w:tc>
      </w:tr>
      <w:tr w:rsidR="008A0174" w14:paraId="1679E72B" w14:textId="77777777">
        <w:trPr>
          <w:trHeight w:val="344"/>
        </w:trPr>
        <w:tc>
          <w:tcPr>
            <w:tcW w:w="2273" w:type="dxa"/>
          </w:tcPr>
          <w:p w14:paraId="172EC250" w14:textId="77777777" w:rsidR="008A017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Code, if applicable</w:t>
            </w:r>
          </w:p>
        </w:tc>
        <w:tc>
          <w:tcPr>
            <w:tcW w:w="6756" w:type="dxa"/>
            <w:shd w:val="clear" w:color="auto" w:fill="F1F1F1"/>
          </w:tcPr>
          <w:p w14:paraId="77E139F8" w14:textId="77777777" w:rsidR="008A017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49150093</w:t>
            </w:r>
          </w:p>
        </w:tc>
      </w:tr>
      <w:tr w:rsidR="008A0174" w14:paraId="72F2DD5F" w14:textId="77777777">
        <w:trPr>
          <w:trHeight w:val="550"/>
        </w:trPr>
        <w:tc>
          <w:tcPr>
            <w:tcW w:w="2273" w:type="dxa"/>
          </w:tcPr>
          <w:p w14:paraId="5DA60AB3" w14:textId="77777777" w:rsidR="008A0174" w:rsidRDefault="00000000">
            <w:pPr>
              <w:widowControl w:val="0"/>
              <w:pBdr>
                <w:top w:val="nil"/>
                <w:left w:val="nil"/>
                <w:bottom w:val="nil"/>
                <w:right w:val="nil"/>
                <w:between w:val="nil"/>
              </w:pBdr>
              <w:spacing w:after="0"/>
              <w:ind w:left="106" w:right="10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Subtitle, if applicable</w:t>
            </w:r>
          </w:p>
        </w:tc>
        <w:tc>
          <w:tcPr>
            <w:tcW w:w="6756" w:type="dxa"/>
            <w:shd w:val="clear" w:color="auto" w:fill="F1F1F1"/>
          </w:tcPr>
          <w:p w14:paraId="45F56A11"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A0174" w14:paraId="712666E2" w14:textId="77777777">
        <w:trPr>
          <w:trHeight w:val="552"/>
        </w:trPr>
        <w:tc>
          <w:tcPr>
            <w:tcW w:w="2273" w:type="dxa"/>
          </w:tcPr>
          <w:p w14:paraId="6A23857D" w14:textId="77777777" w:rsidR="008A0174" w:rsidRDefault="00000000">
            <w:pPr>
              <w:widowControl w:val="0"/>
              <w:pBdr>
                <w:top w:val="nil"/>
                <w:left w:val="nil"/>
                <w:bottom w:val="nil"/>
                <w:right w:val="nil"/>
                <w:between w:val="nil"/>
              </w:pBdr>
              <w:spacing w:after="0" w:line="240" w:lineRule="auto"/>
              <w:ind w:left="106" w:right="10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if applicable</w:t>
            </w:r>
          </w:p>
        </w:tc>
        <w:tc>
          <w:tcPr>
            <w:tcW w:w="6756" w:type="dxa"/>
            <w:shd w:val="clear" w:color="auto" w:fill="F1F1F1"/>
          </w:tcPr>
          <w:p w14:paraId="6FC4EF8A" w14:textId="77777777" w:rsidR="008A0174" w:rsidRDefault="00000000">
            <w:pPr>
              <w:widowControl w:val="0"/>
              <w:pBdr>
                <w:top w:val="nil"/>
                <w:left w:val="nil"/>
                <w:bottom w:val="nil"/>
                <w:right w:val="nil"/>
                <w:between w:val="nil"/>
              </w:pBdr>
              <w:spacing w:before="1" w:after="0"/>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discusses various theories and concepts in a </w:t>
            </w:r>
            <w:r>
              <w:rPr>
                <w:rFonts w:ascii="Times New Roman" w:eastAsia="Times New Roman" w:hAnsi="Times New Roman" w:cs="Times New Roman"/>
                <w:color w:val="000000"/>
              </w:rPr>
              <w:t xml:space="preserve">social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 xml:space="preserve">perspective to examine the Indonesian social system </w:t>
            </w:r>
            <w:proofErr w:type="gramStart"/>
            <w:r>
              <w:rPr>
                <w:rFonts w:ascii="Times New Roman" w:eastAsia="Times New Roman" w:hAnsi="Times New Roman" w:cs="Times New Roman"/>
                <w:color w:val="000000"/>
                <w:sz w:val="24"/>
                <w:szCs w:val="24"/>
              </w:rPr>
              <w:t>including:</w:t>
            </w:r>
            <w:proofErr w:type="gramEnd"/>
            <w:r>
              <w:rPr>
                <w:rFonts w:ascii="Times New Roman" w:eastAsia="Times New Roman" w:hAnsi="Times New Roman" w:cs="Times New Roman"/>
                <w:color w:val="000000"/>
                <w:sz w:val="24"/>
                <w:szCs w:val="24"/>
              </w:rPr>
              <w:t xml:space="preserve"> Understanding social systems and elements of social </w:t>
            </w:r>
            <w:proofErr w:type="spellStart"/>
            <w:r>
              <w:rPr>
                <w:rFonts w:ascii="Times New Roman" w:eastAsia="Times New Roman" w:hAnsi="Times New Roman" w:cs="Times New Roman"/>
                <w:color w:val="000000"/>
                <w:sz w:val="24"/>
                <w:szCs w:val="24"/>
              </w:rPr>
              <w:t>systemsl</w:t>
            </w:r>
            <w:proofErr w:type="spellEnd"/>
          </w:p>
        </w:tc>
      </w:tr>
      <w:tr w:rsidR="008A0174" w14:paraId="13300E5C" w14:textId="77777777">
        <w:trPr>
          <w:trHeight w:val="825"/>
        </w:trPr>
        <w:tc>
          <w:tcPr>
            <w:tcW w:w="2273" w:type="dxa"/>
          </w:tcPr>
          <w:p w14:paraId="6945DFB7" w14:textId="77777777" w:rsidR="008A0174" w:rsidRDefault="00000000">
            <w:pPr>
              <w:widowControl w:val="0"/>
              <w:pBdr>
                <w:top w:val="nil"/>
                <w:left w:val="nil"/>
                <w:bottom w:val="nil"/>
                <w:right w:val="nil"/>
                <w:between w:val="nil"/>
              </w:pBdr>
              <w:spacing w:after="0"/>
              <w:ind w:left="106" w:right="1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Semester(s) in which the module is taught</w:t>
            </w:r>
          </w:p>
        </w:tc>
        <w:tc>
          <w:tcPr>
            <w:tcW w:w="6756" w:type="dxa"/>
            <w:shd w:val="clear" w:color="auto" w:fill="F1F1F1"/>
          </w:tcPr>
          <w:p w14:paraId="38A453CF"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Odd</w:t>
            </w:r>
          </w:p>
        </w:tc>
      </w:tr>
      <w:tr w:rsidR="008A0174" w14:paraId="1B29F04E" w14:textId="77777777">
        <w:trPr>
          <w:trHeight w:val="676"/>
        </w:trPr>
        <w:tc>
          <w:tcPr>
            <w:tcW w:w="2273" w:type="dxa"/>
          </w:tcPr>
          <w:p w14:paraId="35A390F3" w14:textId="77777777" w:rsidR="008A0174" w:rsidRDefault="00000000">
            <w:pPr>
              <w:widowControl w:val="0"/>
              <w:pBdr>
                <w:top w:val="nil"/>
                <w:left w:val="nil"/>
                <w:bottom w:val="nil"/>
                <w:right w:val="nil"/>
                <w:between w:val="nil"/>
              </w:pBdr>
              <w:spacing w:before="1" w:after="0" w:line="240" w:lineRule="auto"/>
              <w:ind w:left="106" w:right="2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 responsible for the module</w:t>
            </w:r>
          </w:p>
        </w:tc>
        <w:tc>
          <w:tcPr>
            <w:tcW w:w="6756" w:type="dxa"/>
            <w:shd w:val="clear" w:color="auto" w:fill="F1F1F1"/>
          </w:tcPr>
          <w:p w14:paraId="5EFC9696" w14:textId="77777777" w:rsidR="008A0174" w:rsidRDefault="00000000">
            <w:pPr>
              <w:widowControl w:val="0"/>
              <w:pBdr>
                <w:top w:val="nil"/>
                <w:left w:val="nil"/>
                <w:bottom w:val="nil"/>
                <w:right w:val="nil"/>
                <w:between w:val="nil"/>
              </w:pBdr>
              <w:spacing w:before="1"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MKDK course team</w:t>
            </w:r>
          </w:p>
        </w:tc>
      </w:tr>
      <w:tr w:rsidR="008A0174" w14:paraId="6989BCB0" w14:textId="77777777">
        <w:trPr>
          <w:trHeight w:val="342"/>
        </w:trPr>
        <w:tc>
          <w:tcPr>
            <w:tcW w:w="2273" w:type="dxa"/>
          </w:tcPr>
          <w:p w14:paraId="32F4A4D2"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Lecturer</w:t>
            </w:r>
          </w:p>
        </w:tc>
        <w:tc>
          <w:tcPr>
            <w:tcW w:w="6756" w:type="dxa"/>
            <w:shd w:val="clear" w:color="auto" w:fill="F1F1F1"/>
          </w:tcPr>
          <w:p w14:paraId="6E63E6E0"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Martini, SH.MH</w:t>
            </w:r>
          </w:p>
          <w:p w14:paraId="099D105F"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Nova </w:t>
            </w:r>
            <w:proofErr w:type="spellStart"/>
            <w:r>
              <w:rPr>
                <w:rFonts w:ascii="Times New Roman" w:eastAsia="Times New Roman" w:hAnsi="Times New Roman" w:cs="Times New Roman"/>
                <w:color w:val="000000"/>
                <w:sz w:val="24"/>
                <w:szCs w:val="24"/>
              </w:rPr>
              <w:t>Scorviana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S.Pd</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M.A</w:t>
            </w:r>
            <w:proofErr w:type="gramEnd"/>
          </w:p>
        </w:tc>
      </w:tr>
      <w:tr w:rsidR="008A0174" w14:paraId="0C44DAA0" w14:textId="77777777">
        <w:trPr>
          <w:trHeight w:val="345"/>
        </w:trPr>
        <w:tc>
          <w:tcPr>
            <w:tcW w:w="2273" w:type="dxa"/>
          </w:tcPr>
          <w:p w14:paraId="6418A445" w14:textId="77777777" w:rsidR="008A017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Language</w:t>
            </w:r>
          </w:p>
        </w:tc>
        <w:tc>
          <w:tcPr>
            <w:tcW w:w="6756" w:type="dxa"/>
            <w:shd w:val="clear" w:color="auto" w:fill="F1F1F1"/>
          </w:tcPr>
          <w:p w14:paraId="2062E055" w14:textId="77777777" w:rsidR="008A017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Indonesian Language </w:t>
            </w:r>
          </w:p>
        </w:tc>
      </w:tr>
      <w:tr w:rsidR="008A0174" w14:paraId="19245129" w14:textId="77777777">
        <w:trPr>
          <w:trHeight w:val="672"/>
        </w:trPr>
        <w:tc>
          <w:tcPr>
            <w:tcW w:w="2273" w:type="dxa"/>
          </w:tcPr>
          <w:p w14:paraId="4883D303" w14:textId="77777777" w:rsidR="008A0174" w:rsidRDefault="00000000">
            <w:pPr>
              <w:widowControl w:val="0"/>
              <w:pBdr>
                <w:top w:val="nil"/>
                <w:left w:val="nil"/>
                <w:bottom w:val="nil"/>
                <w:right w:val="nil"/>
                <w:between w:val="nil"/>
              </w:pBdr>
              <w:spacing w:before="3" w:after="0" w:line="240" w:lineRule="auto"/>
              <w:ind w:left="106" w:right="9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Relation to Curriculum</w:t>
            </w:r>
          </w:p>
        </w:tc>
        <w:tc>
          <w:tcPr>
            <w:tcW w:w="6756" w:type="dxa"/>
            <w:shd w:val="clear" w:color="auto" w:fill="F1F1F1"/>
          </w:tcPr>
          <w:p w14:paraId="0442FE59" w14:textId="77777777" w:rsidR="008A017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offered in the </w:t>
            </w:r>
            <w:proofErr w:type="gramStart"/>
            <w:r>
              <w:rPr>
                <w:rFonts w:ascii="Times New Roman" w:eastAsia="Times New Roman" w:hAnsi="Times New Roman" w:cs="Times New Roman"/>
                <w:sz w:val="24"/>
                <w:szCs w:val="24"/>
              </w:rPr>
              <w:t>3th</w:t>
            </w:r>
            <w:proofErr w:type="gramEnd"/>
            <w:r>
              <w:rPr>
                <w:rFonts w:ascii="Times New Roman" w:eastAsia="Times New Roman" w:hAnsi="Times New Roman" w:cs="Times New Roman"/>
                <w:sz w:val="24"/>
                <w:szCs w:val="24"/>
              </w:rPr>
              <w:t xml:space="preserve"> semester.</w:t>
            </w:r>
          </w:p>
        </w:tc>
      </w:tr>
      <w:tr w:rsidR="008A0174" w14:paraId="3337863E" w14:textId="77777777">
        <w:trPr>
          <w:trHeight w:val="2206"/>
        </w:trPr>
        <w:tc>
          <w:tcPr>
            <w:tcW w:w="2273" w:type="dxa"/>
          </w:tcPr>
          <w:p w14:paraId="214A478C" w14:textId="77777777" w:rsidR="008A0174" w:rsidRDefault="00000000">
            <w:pPr>
              <w:widowControl w:val="0"/>
              <w:pBdr>
                <w:top w:val="nil"/>
                <w:left w:val="nil"/>
                <w:bottom w:val="nil"/>
                <w:right w:val="nil"/>
                <w:between w:val="nil"/>
              </w:pBdr>
              <w:spacing w:after="0" w:line="240" w:lineRule="auto"/>
              <w:ind w:left="106" w:right="3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teaching, contact hours</w:t>
            </w:r>
          </w:p>
        </w:tc>
        <w:tc>
          <w:tcPr>
            <w:tcW w:w="6756" w:type="dxa"/>
            <w:shd w:val="clear" w:color="auto" w:fill="F1F1F1"/>
          </w:tcPr>
          <w:p w14:paraId="39A77B6F"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methods used in this course are:</w:t>
            </w:r>
          </w:p>
          <w:p w14:paraId="6937264A" w14:textId="77777777" w:rsidR="008A0174" w:rsidRDefault="00000000">
            <w:pPr>
              <w:spacing w:after="0"/>
              <w:ind w:left="284"/>
            </w:pPr>
            <w:r>
              <w:rPr>
                <w:rFonts w:ascii="Times New Roman" w:eastAsia="Times New Roman" w:hAnsi="Times New Roman" w:cs="Times New Roman"/>
                <w:sz w:val="24"/>
                <w:szCs w:val="24"/>
              </w:rPr>
              <w:t xml:space="preserve">Learning will be carried out using lectures, </w:t>
            </w:r>
            <w:proofErr w:type="gramStart"/>
            <w:r>
              <w:rPr>
                <w:rFonts w:ascii="Times New Roman" w:eastAsia="Times New Roman" w:hAnsi="Times New Roman" w:cs="Times New Roman"/>
                <w:sz w:val="24"/>
                <w:szCs w:val="24"/>
              </w:rPr>
              <w:t>question</w:t>
            </w:r>
            <w:proofErr w:type="gramEnd"/>
            <w:r>
              <w:rPr>
                <w:rFonts w:ascii="Times New Roman" w:eastAsia="Times New Roman" w:hAnsi="Times New Roman" w:cs="Times New Roman"/>
                <w:sz w:val="24"/>
                <w:szCs w:val="24"/>
              </w:rPr>
              <w:t xml:space="preserve"> and answer, discussion, assignment, </w:t>
            </w:r>
            <w:r>
              <w:rPr>
                <w:rFonts w:ascii="Times New Roman" w:eastAsia="Times New Roman" w:hAnsi="Times New Roman" w:cs="Times New Roman"/>
                <w:i/>
                <w:sz w:val="24"/>
                <w:szCs w:val="24"/>
              </w:rPr>
              <w:t>cased method,</w:t>
            </w:r>
            <w:r>
              <w:rPr>
                <w:rFonts w:ascii="Times New Roman" w:eastAsia="Times New Roman" w:hAnsi="Times New Roman" w:cs="Times New Roman"/>
                <w:sz w:val="24"/>
                <w:szCs w:val="24"/>
              </w:rPr>
              <w:t xml:space="preserve"> and</w:t>
            </w:r>
            <w:r>
              <w:rPr>
                <w:rFonts w:ascii="Times New Roman" w:eastAsia="Times New Roman" w:hAnsi="Times New Roman" w:cs="Times New Roman"/>
                <w:i/>
                <w:sz w:val="24"/>
                <w:szCs w:val="24"/>
              </w:rPr>
              <w:t xml:space="preserve"> project-based learning approaches.</w:t>
            </w:r>
          </w:p>
          <w:p w14:paraId="03C4E457" w14:textId="77777777" w:rsidR="008A0174" w:rsidRDefault="00000000">
            <w:r>
              <w:rPr>
                <w:rFonts w:ascii="Times New Roman" w:eastAsia="Times New Roman" w:hAnsi="Times New Roman" w:cs="Times New Roman"/>
                <w:color w:val="000000"/>
                <w:sz w:val="24"/>
                <w:szCs w:val="24"/>
              </w:rPr>
              <w:t> </w:t>
            </w:r>
          </w:p>
          <w:p w14:paraId="33788FF5" w14:textId="77777777" w:rsidR="008A0174" w:rsidRDefault="008A0174">
            <w:pPr>
              <w:rPr>
                <w:rFonts w:ascii="Times New Roman" w:eastAsia="Times New Roman" w:hAnsi="Times New Roman" w:cs="Times New Roman"/>
                <w:color w:val="000000"/>
                <w:sz w:val="24"/>
                <w:szCs w:val="24"/>
              </w:rPr>
            </w:pPr>
          </w:p>
        </w:tc>
      </w:tr>
      <w:tr w:rsidR="008A0174" w14:paraId="1BC41B2F" w14:textId="77777777">
        <w:trPr>
          <w:trHeight w:val="1658"/>
        </w:trPr>
        <w:tc>
          <w:tcPr>
            <w:tcW w:w="2273" w:type="dxa"/>
          </w:tcPr>
          <w:p w14:paraId="7425C300" w14:textId="77777777" w:rsidR="008A0174" w:rsidRDefault="00000000">
            <w:pPr>
              <w:widowControl w:val="0"/>
              <w:pBdr>
                <w:top w:val="nil"/>
                <w:left w:val="nil"/>
                <w:bottom w:val="nil"/>
                <w:right w:val="nil"/>
                <w:between w:val="nil"/>
              </w:pBdr>
              <w:spacing w:before="3" w:after="0" w:line="240" w:lineRule="auto"/>
              <w:ind w:left="1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Workload</w:t>
            </w:r>
          </w:p>
        </w:tc>
        <w:tc>
          <w:tcPr>
            <w:tcW w:w="6756" w:type="dxa"/>
            <w:shd w:val="clear" w:color="auto" w:fill="F1F1F1"/>
          </w:tcPr>
          <w:p w14:paraId="67B6C5F7" w14:textId="77777777" w:rsidR="008A017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Students are required to meet a minimum of 135,5 hours in one semester, which consist of: </w:t>
            </w:r>
          </w:p>
          <w:p w14:paraId="69D59561" w14:textId="77777777" w:rsidR="008A017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27 hours for </w:t>
            </w:r>
            <w:proofErr w:type="gramStart"/>
            <w:r>
              <w:rPr>
                <w:rFonts w:ascii="Times New Roman" w:eastAsia="Times New Roman" w:hAnsi="Times New Roman" w:cs="Times New Roman"/>
              </w:rPr>
              <w:t>lecture;</w:t>
            </w:r>
            <w:proofErr w:type="gramEnd"/>
            <w:r>
              <w:rPr>
                <w:rFonts w:ascii="Times New Roman" w:eastAsia="Times New Roman" w:hAnsi="Times New Roman" w:cs="Times New Roman"/>
              </w:rPr>
              <w:t xml:space="preserve"> </w:t>
            </w:r>
          </w:p>
          <w:p w14:paraId="41D0A5B8" w14:textId="77777777" w:rsidR="008A017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 xml:space="preserve">32 hours for structured </w:t>
            </w:r>
            <w:proofErr w:type="gramStart"/>
            <w:r>
              <w:rPr>
                <w:rFonts w:ascii="Times New Roman" w:eastAsia="Times New Roman" w:hAnsi="Times New Roman" w:cs="Times New Roman"/>
              </w:rPr>
              <w:t>assignments;</w:t>
            </w:r>
            <w:proofErr w:type="gramEnd"/>
            <w:r>
              <w:rPr>
                <w:rFonts w:ascii="Times New Roman" w:eastAsia="Times New Roman" w:hAnsi="Times New Roman" w:cs="Times New Roman"/>
              </w:rPr>
              <w:t xml:space="preserve"> </w:t>
            </w:r>
          </w:p>
          <w:p w14:paraId="7C726ADE" w14:textId="77777777" w:rsidR="008A017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32 hours for individual study</w:t>
            </w:r>
          </w:p>
          <w:p w14:paraId="4C7ABD7C" w14:textId="77777777" w:rsidR="008A0174" w:rsidRDefault="00000000">
            <w:pPr>
              <w:tabs>
                <w:tab w:val="left" w:pos="3868"/>
              </w:tabs>
              <w:rPr>
                <w:rFonts w:ascii="Times New Roman" w:eastAsia="Times New Roman" w:hAnsi="Times New Roman" w:cs="Times New Roman"/>
              </w:rPr>
            </w:pPr>
            <w:r>
              <w:rPr>
                <w:rFonts w:ascii="Times New Roman" w:eastAsia="Times New Roman" w:hAnsi="Times New Roman" w:cs="Times New Roman"/>
              </w:rPr>
              <w:t>45,5 hours for practice</w:t>
            </w:r>
          </w:p>
        </w:tc>
      </w:tr>
      <w:tr w:rsidR="008A0174" w14:paraId="644E461D" w14:textId="77777777">
        <w:trPr>
          <w:trHeight w:val="345"/>
        </w:trPr>
        <w:tc>
          <w:tcPr>
            <w:tcW w:w="2273" w:type="dxa"/>
          </w:tcPr>
          <w:p w14:paraId="4D53AB72" w14:textId="77777777" w:rsidR="008A0174" w:rsidRDefault="00000000">
            <w:pPr>
              <w:widowControl w:val="0"/>
              <w:pBdr>
                <w:top w:val="nil"/>
                <w:left w:val="nil"/>
                <w:bottom w:val="nil"/>
                <w:right w:val="nil"/>
                <w:between w:val="nil"/>
              </w:pBdr>
              <w:spacing w:after="0" w:line="27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 points</w:t>
            </w:r>
          </w:p>
        </w:tc>
        <w:tc>
          <w:tcPr>
            <w:tcW w:w="6756" w:type="dxa"/>
            <w:shd w:val="clear" w:color="auto" w:fill="F1F1F1"/>
          </w:tcPr>
          <w:p w14:paraId="1DE5184C" w14:textId="77777777" w:rsidR="008A0174" w:rsidRDefault="008A0174">
            <w:pPr>
              <w:spacing w:after="0"/>
              <w:ind w:left="106"/>
              <w:rPr>
                <w:rFonts w:ascii="Times New Roman" w:eastAsia="Times New Roman" w:hAnsi="Times New Roman" w:cs="Times New Roman"/>
              </w:rPr>
            </w:pPr>
          </w:p>
          <w:p w14:paraId="78E1D3F4" w14:textId="77777777" w:rsidR="008A0174" w:rsidRDefault="00000000">
            <w:pPr>
              <w:spacing w:after="0"/>
              <w:ind w:left="106"/>
              <w:rPr>
                <w:rFonts w:ascii="Times New Roman" w:eastAsia="Times New Roman" w:hAnsi="Times New Roman" w:cs="Times New Roman"/>
              </w:rPr>
            </w:pPr>
            <w:r>
              <w:rPr>
                <w:rFonts w:ascii="Times New Roman" w:eastAsia="Times New Roman" w:hAnsi="Times New Roman" w:cs="Times New Roman"/>
              </w:rPr>
              <w:t>3 credits (equivalent with 4,5 ECTS)</w:t>
            </w:r>
          </w:p>
          <w:p w14:paraId="0A8D2843" w14:textId="77777777" w:rsidR="008A0174" w:rsidRDefault="008A0174">
            <w:pPr>
              <w:spacing w:after="0"/>
              <w:ind w:left="106"/>
              <w:rPr>
                <w:rFonts w:ascii="Times New Roman" w:eastAsia="Times New Roman" w:hAnsi="Times New Roman" w:cs="Times New Roman"/>
              </w:rPr>
            </w:pPr>
          </w:p>
        </w:tc>
      </w:tr>
      <w:tr w:rsidR="008A0174" w14:paraId="5775C2CD" w14:textId="77777777">
        <w:trPr>
          <w:trHeight w:val="1102"/>
        </w:trPr>
        <w:tc>
          <w:tcPr>
            <w:tcW w:w="2273" w:type="dxa"/>
          </w:tcPr>
          <w:p w14:paraId="29E4B415" w14:textId="77777777" w:rsidR="008A0174" w:rsidRDefault="00000000">
            <w:pPr>
              <w:widowControl w:val="0"/>
              <w:pBdr>
                <w:top w:val="nil"/>
                <w:left w:val="nil"/>
                <w:bottom w:val="nil"/>
                <w:right w:val="nil"/>
                <w:between w:val="nil"/>
              </w:pBdr>
              <w:spacing w:after="0" w:line="240" w:lineRule="auto"/>
              <w:ind w:left="106" w:right="4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Requirements according to the examination</w:t>
            </w:r>
          </w:p>
          <w:p w14:paraId="45DD5289" w14:textId="77777777" w:rsidR="008A0174" w:rsidRDefault="00000000">
            <w:pPr>
              <w:widowControl w:val="0"/>
              <w:pBdr>
                <w:top w:val="nil"/>
                <w:left w:val="nil"/>
                <w:bottom w:val="nil"/>
                <w:right w:val="nil"/>
                <w:between w:val="nil"/>
              </w:pBdr>
              <w:spacing w:after="0" w:line="255" w:lineRule="auto"/>
              <w:ind w:left="10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regulations</w:t>
            </w:r>
          </w:p>
        </w:tc>
        <w:tc>
          <w:tcPr>
            <w:tcW w:w="6756" w:type="dxa"/>
            <w:shd w:val="clear" w:color="auto" w:fill="F1F1F1"/>
          </w:tcPr>
          <w:p w14:paraId="56B4217E" w14:textId="77777777" w:rsidR="008A0174" w:rsidRDefault="00000000">
            <w:pPr>
              <w:widowControl w:val="0"/>
              <w:pBdr>
                <w:top w:val="nil"/>
                <w:left w:val="nil"/>
                <w:bottom w:val="nil"/>
                <w:right w:val="nil"/>
                <w:between w:val="nil"/>
              </w:pBdr>
              <w:spacing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must attend all classes and submit all scheduled classwork before the final exam.</w:t>
            </w:r>
          </w:p>
        </w:tc>
      </w:tr>
      <w:tr w:rsidR="008A0174" w14:paraId="49A61A3E" w14:textId="77777777">
        <w:trPr>
          <w:trHeight w:val="673"/>
        </w:trPr>
        <w:tc>
          <w:tcPr>
            <w:tcW w:w="2273" w:type="dxa"/>
          </w:tcPr>
          <w:p w14:paraId="5BBF1F1E" w14:textId="77777777" w:rsidR="008A0174" w:rsidRDefault="00000000">
            <w:pPr>
              <w:widowControl w:val="0"/>
              <w:pBdr>
                <w:top w:val="nil"/>
                <w:left w:val="nil"/>
                <w:bottom w:val="nil"/>
                <w:right w:val="nil"/>
                <w:between w:val="nil"/>
              </w:pBdr>
              <w:spacing w:before="3" w:after="0" w:line="240" w:lineRule="auto"/>
              <w:ind w:left="106" w:right="6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Recommended prerequisites</w:t>
            </w:r>
          </w:p>
        </w:tc>
        <w:tc>
          <w:tcPr>
            <w:tcW w:w="6756" w:type="dxa"/>
            <w:shd w:val="clear" w:color="auto" w:fill="F1F1F1"/>
          </w:tcPr>
          <w:p w14:paraId="4E19AA46" w14:textId="77777777" w:rsidR="008A0174" w:rsidRDefault="00000000">
            <w:pPr>
              <w:widowControl w:val="0"/>
              <w:pBdr>
                <w:top w:val="nil"/>
                <w:left w:val="nil"/>
                <w:bottom w:val="nil"/>
                <w:right w:val="nil"/>
                <w:between w:val="nil"/>
              </w:pBdr>
              <w:spacing w:before="3" w:after="0" w:line="240" w:lineRule="auto"/>
              <w:ind w:lef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not allowed more than 3 times and collect assignments before the implementation of the final semester exam.</w:t>
            </w:r>
          </w:p>
        </w:tc>
      </w:tr>
      <w:tr w:rsidR="008A0174" w14:paraId="44E8B495" w14:textId="77777777">
        <w:trPr>
          <w:trHeight w:val="1950"/>
        </w:trPr>
        <w:tc>
          <w:tcPr>
            <w:tcW w:w="2273" w:type="dxa"/>
          </w:tcPr>
          <w:p w14:paraId="04499C10"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objectives/intended learning outcomes</w:t>
            </w:r>
          </w:p>
        </w:tc>
        <w:tc>
          <w:tcPr>
            <w:tcW w:w="6756" w:type="dxa"/>
            <w:shd w:val="clear" w:color="auto" w:fill="F1F1F1"/>
          </w:tcPr>
          <w:p w14:paraId="16F4B5A2" w14:textId="77777777" w:rsidR="008A01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Able to plan, implement, and evaluate curricular, co-curricular, and extracurricular learning using an active learning approach with various learning resources, IT-based learning media, and the potential of the local environment, in accordance with quality processes and standards. Able to learn and develop various learning methods that have been provided and tested innovatively.</w:t>
            </w:r>
          </w:p>
        </w:tc>
      </w:tr>
      <w:tr w:rsidR="008A0174" w14:paraId="25A85311"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2E64A2D4"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65C76BAA" w14:textId="77777777" w:rsidR="008A017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learn about:</w:t>
            </w:r>
          </w:p>
          <w:p w14:paraId="2E7A51FE" w14:textId="77777777" w:rsidR="008A017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Able to analyze social problems based on the perspective of socio-cultural theory.</w:t>
            </w:r>
          </w:p>
        </w:tc>
      </w:tr>
      <w:tr w:rsidR="008A0174" w14:paraId="486B6C58"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45878C31"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Forms of Assessment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7C1A058B" w14:textId="77777777" w:rsidR="008A0174" w:rsidRDefault="00000000">
            <w:pPr>
              <w:spacing w:after="0"/>
              <w:ind w:right="102"/>
              <w:rPr>
                <w:rFonts w:ascii="Times New Roman" w:eastAsia="Times New Roman" w:hAnsi="Times New Roman" w:cs="Times New Roman"/>
              </w:rPr>
            </w:pPr>
            <w:r>
              <w:rPr>
                <w:rFonts w:ascii="Times New Roman" w:eastAsia="Times New Roman" w:hAnsi="Times New Roman" w:cs="Times New Roman"/>
                <w:sz w:val="24"/>
                <w:szCs w:val="24"/>
              </w:rPr>
              <w:t>The assessment of this course includes:</w:t>
            </w:r>
          </w:p>
          <w:p w14:paraId="0D53AC38" w14:textId="77777777" w:rsidR="008A017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Attitude 20% </w:t>
            </w:r>
          </w:p>
          <w:p w14:paraId="5E02AA99" w14:textId="77777777" w:rsidR="008A017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General skills 20%</w:t>
            </w:r>
          </w:p>
          <w:p w14:paraId="275789A6" w14:textId="77777777" w:rsidR="008A017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Specific skills 25% </w:t>
            </w:r>
          </w:p>
          <w:p w14:paraId="64486584" w14:textId="77777777" w:rsidR="008A0174" w:rsidRDefault="00000000">
            <w:pPr>
              <w:spacing w:after="0"/>
              <w:ind w:left="818"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Knowledge 35%</w:t>
            </w:r>
          </w:p>
        </w:tc>
      </w:tr>
      <w:tr w:rsidR="008A0174" w14:paraId="4DABF3FC"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5C283B51"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and examination requirements and forms of examination</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0E7879FB" w14:textId="77777777" w:rsidR="008A017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and examination requirements:</w:t>
            </w:r>
          </w:p>
          <w:p w14:paraId="3EEC46B5" w14:textId="77777777" w:rsidR="008A017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College students are not allowed to arrive late. Delay tolerance is 10 minutes. If they pass the delay tolerance, students are not allowed to take the exam.</w:t>
            </w:r>
          </w:p>
          <w:p w14:paraId="09617442" w14:textId="77777777" w:rsidR="008A017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are required to notify the lecturer if they are not present at class due to illness, etc.</w:t>
            </w:r>
          </w:p>
          <w:p w14:paraId="7AB5CE08" w14:textId="77777777" w:rsidR="008A017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Students must submit all classwork before the deadline.</w:t>
            </w:r>
          </w:p>
          <w:p w14:paraId="2BAE02BE" w14:textId="77777777" w:rsidR="008A0174" w:rsidRDefault="00000000">
            <w:pPr>
              <w:spacing w:after="0" w:line="240" w:lineRule="auto"/>
              <w:ind w:left="332" w:hanging="283"/>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Students must take the exam to get the final grade. </w:t>
            </w:r>
          </w:p>
        </w:tc>
      </w:tr>
      <w:tr w:rsidR="008A0174" w14:paraId="73C52098"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58BBF6E4"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employed</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3DFB7BB2" w14:textId="77777777" w:rsidR="008A01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LMS, Zoom, Google Classroom, Google Meet, Microsoft Teams, </w:t>
            </w:r>
            <w:proofErr w:type="spellStart"/>
            <w:r>
              <w:rPr>
                <w:rFonts w:ascii="Times New Roman" w:eastAsia="Times New Roman" w:hAnsi="Times New Roman" w:cs="Times New Roman"/>
                <w:i/>
                <w:sz w:val="24"/>
                <w:szCs w:val="24"/>
              </w:rPr>
              <w:t>Whatsapp</w:t>
            </w:r>
            <w:proofErr w:type="spellEnd"/>
          </w:p>
        </w:tc>
      </w:tr>
      <w:tr w:rsidR="008A0174" w14:paraId="00A674C3" w14:textId="77777777">
        <w:trPr>
          <w:trHeight w:val="1950"/>
        </w:trPr>
        <w:tc>
          <w:tcPr>
            <w:tcW w:w="2273" w:type="dxa"/>
            <w:tcBorders>
              <w:top w:val="single" w:sz="4" w:space="0" w:color="000000"/>
              <w:left w:val="single" w:sz="4" w:space="0" w:color="000000"/>
              <w:bottom w:val="single" w:sz="4" w:space="0" w:color="000000"/>
              <w:right w:val="single" w:sz="4" w:space="0" w:color="000000"/>
            </w:tcBorders>
          </w:tcPr>
          <w:p w14:paraId="6C806B9D" w14:textId="77777777" w:rsidR="008A0174" w:rsidRDefault="00000000">
            <w:pPr>
              <w:widowControl w:val="0"/>
              <w:pBdr>
                <w:top w:val="nil"/>
                <w:left w:val="nil"/>
                <w:bottom w:val="nil"/>
                <w:right w:val="nil"/>
                <w:between w:val="nil"/>
              </w:pBdr>
              <w:spacing w:before="3" w:after="0" w:line="240" w:lineRule="auto"/>
              <w:ind w:left="106" w:right="1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Reading list</w:t>
            </w:r>
          </w:p>
        </w:tc>
        <w:tc>
          <w:tcPr>
            <w:tcW w:w="6756" w:type="dxa"/>
            <w:tcBorders>
              <w:top w:val="single" w:sz="4" w:space="0" w:color="000000"/>
              <w:left w:val="single" w:sz="4" w:space="0" w:color="000000"/>
              <w:bottom w:val="single" w:sz="4" w:space="0" w:color="000000"/>
              <w:right w:val="single" w:sz="4" w:space="0" w:color="000000"/>
            </w:tcBorders>
            <w:shd w:val="clear" w:color="auto" w:fill="F1F1F1"/>
          </w:tcPr>
          <w:p w14:paraId="15AD64BE"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1. Geertz, Clifford</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1983. </w:t>
            </w:r>
            <w:r>
              <w:rPr>
                <w:rFonts w:ascii="Times New Roman" w:eastAsia="Times New Roman" w:hAnsi="Times New Roman" w:cs="Times New Roman"/>
                <w:i/>
                <w:sz w:val="24"/>
                <w:szCs w:val="24"/>
              </w:rPr>
              <w:t xml:space="preserve">Abangan, </w:t>
            </w:r>
            <w:proofErr w:type="spellStart"/>
            <w:r>
              <w:rPr>
                <w:rFonts w:ascii="Times New Roman" w:eastAsia="Times New Roman" w:hAnsi="Times New Roman" w:cs="Times New Roman"/>
                <w:i/>
                <w:sz w:val="24"/>
                <w:szCs w:val="24"/>
              </w:rPr>
              <w:t>Santri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Priyayi</w:t>
            </w:r>
            <w:proofErr w:type="spellEnd"/>
            <w:r>
              <w:rPr>
                <w:rFonts w:ascii="Times New Roman" w:eastAsia="Times New Roman" w:hAnsi="Times New Roman" w:cs="Times New Roman"/>
                <w:i/>
                <w:sz w:val="24"/>
                <w:szCs w:val="24"/>
              </w:rPr>
              <w:t xml:space="preserve"> in Javanese Society</w:t>
            </w:r>
            <w:r>
              <w:rPr>
                <w:rFonts w:ascii="Times New Roman" w:eastAsia="Times New Roman" w:hAnsi="Times New Roman" w:cs="Times New Roman"/>
                <w:sz w:val="24"/>
                <w:szCs w:val="24"/>
              </w:rPr>
              <w:t xml:space="preserve">. Jakarta: Pustaka </w:t>
            </w:r>
            <w:proofErr w:type="spellStart"/>
            <w:r>
              <w:rPr>
                <w:rFonts w:ascii="Times New Roman" w:eastAsia="Times New Roman" w:hAnsi="Times New Roman" w:cs="Times New Roman"/>
                <w:sz w:val="24"/>
                <w:szCs w:val="24"/>
              </w:rPr>
              <w:t>Jaya.Gogali</w:t>
            </w:r>
            <w:proofErr w:type="spellEnd"/>
            <w:r>
              <w:rPr>
                <w:rFonts w:ascii="Times New Roman" w:eastAsia="Times New Roman" w:hAnsi="Times New Roman" w:cs="Times New Roman"/>
                <w:sz w:val="24"/>
                <w:szCs w:val="24"/>
              </w:rPr>
              <w:t xml:space="preserve">, Lian 2009. </w:t>
            </w:r>
            <w:r>
              <w:rPr>
                <w:rFonts w:ascii="Times New Roman" w:eastAsia="Times New Roman" w:hAnsi="Times New Roman" w:cs="Times New Roman"/>
                <w:i/>
                <w:sz w:val="24"/>
                <w:szCs w:val="24"/>
              </w:rPr>
              <w:t>Poso conflict</w:t>
            </w:r>
            <w:r>
              <w:rPr>
                <w:rFonts w:ascii="Times New Roman" w:eastAsia="Times New Roman" w:hAnsi="Times New Roman" w:cs="Times New Roman"/>
                <w:sz w:val="24"/>
                <w:szCs w:val="24"/>
              </w:rPr>
              <w:t>. Yogyakarta: Galang Press.</w:t>
            </w:r>
          </w:p>
          <w:p w14:paraId="37FE867F"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2. Fakih, Mansour</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2010. </w:t>
            </w:r>
            <w:r>
              <w:rPr>
                <w:rFonts w:ascii="Times New Roman" w:eastAsia="Times New Roman" w:hAnsi="Times New Roman" w:cs="Times New Roman"/>
                <w:i/>
                <w:sz w:val="24"/>
                <w:szCs w:val="24"/>
              </w:rPr>
              <w:t>Gender Analysis and Social Transformation</w:t>
            </w:r>
            <w:r>
              <w:rPr>
                <w:rFonts w:ascii="Times New Roman" w:eastAsia="Times New Roman" w:hAnsi="Times New Roman" w:cs="Times New Roman"/>
                <w:sz w:val="24"/>
                <w:szCs w:val="24"/>
              </w:rPr>
              <w:t>. Yogyakarta: Student Library.</w:t>
            </w:r>
          </w:p>
          <w:p w14:paraId="3A7A75D4"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3. Ismail, Nawawi &amp; Muhaimin AG</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2011. </w:t>
            </w:r>
            <w:r>
              <w:rPr>
                <w:rFonts w:ascii="Times New Roman" w:eastAsia="Times New Roman" w:hAnsi="Times New Roman" w:cs="Times New Roman"/>
                <w:i/>
                <w:sz w:val="24"/>
                <w:szCs w:val="24"/>
              </w:rPr>
              <w:t>Religious and Local Cultural Conflicts.</w:t>
            </w:r>
            <w:r>
              <w:rPr>
                <w:rFonts w:ascii="Times New Roman" w:eastAsia="Times New Roman" w:hAnsi="Times New Roman" w:cs="Times New Roman"/>
                <w:sz w:val="24"/>
                <w:szCs w:val="24"/>
              </w:rPr>
              <w:t xml:space="preserve"> Bandung: </w:t>
            </w:r>
            <w:proofErr w:type="spellStart"/>
            <w:r>
              <w:rPr>
                <w:rFonts w:ascii="Times New Roman" w:eastAsia="Times New Roman" w:hAnsi="Times New Roman" w:cs="Times New Roman"/>
                <w:sz w:val="24"/>
                <w:szCs w:val="24"/>
              </w:rPr>
              <w:t>Lubuk</w:t>
            </w:r>
            <w:proofErr w:type="spellEnd"/>
            <w:r>
              <w:rPr>
                <w:rFonts w:ascii="Times New Roman" w:eastAsia="Times New Roman" w:hAnsi="Times New Roman" w:cs="Times New Roman"/>
                <w:sz w:val="24"/>
                <w:szCs w:val="24"/>
              </w:rPr>
              <w:t xml:space="preserve"> Agung.</w:t>
            </w:r>
          </w:p>
          <w:p w14:paraId="070708A1"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Kossay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Paskalis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2011. </w:t>
            </w:r>
            <w:r>
              <w:rPr>
                <w:rFonts w:ascii="Times New Roman" w:eastAsia="Times New Roman" w:hAnsi="Times New Roman" w:cs="Times New Roman"/>
                <w:i/>
                <w:sz w:val="24"/>
                <w:szCs w:val="24"/>
              </w:rPr>
              <w:t>The Papuan Conflict: The Root of the Problem and Solutions</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Tollegi</w:t>
            </w:r>
            <w:proofErr w:type="spellEnd"/>
            <w:r>
              <w:rPr>
                <w:rFonts w:ascii="Times New Roman" w:eastAsia="Times New Roman" w:hAnsi="Times New Roman" w:cs="Times New Roman"/>
                <w:sz w:val="24"/>
                <w:szCs w:val="24"/>
              </w:rPr>
              <w:t>.</w:t>
            </w:r>
          </w:p>
          <w:p w14:paraId="33E2CE53"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Megawangi</w:t>
            </w:r>
            <w:proofErr w:type="spellEnd"/>
            <w:r>
              <w:rPr>
                <w:rFonts w:ascii="Times New Roman" w:eastAsia="Times New Roman" w:hAnsi="Times New Roman" w:cs="Times New Roman"/>
              </w:rPr>
              <w:t>, Ratna</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1999. </w:t>
            </w:r>
            <w:r>
              <w:rPr>
                <w:rFonts w:ascii="Times New Roman" w:eastAsia="Times New Roman" w:hAnsi="Times New Roman" w:cs="Times New Roman"/>
                <w:i/>
                <w:sz w:val="24"/>
                <w:szCs w:val="24"/>
              </w:rPr>
              <w:t>Letting It Differ? A New Perspective on Gender Relations</w:t>
            </w:r>
            <w:r>
              <w:rPr>
                <w:rFonts w:ascii="Times New Roman" w:eastAsia="Times New Roman" w:hAnsi="Times New Roman" w:cs="Times New Roman"/>
                <w:sz w:val="24"/>
                <w:szCs w:val="24"/>
              </w:rPr>
              <w:t>. London: Mizan.</w:t>
            </w:r>
          </w:p>
          <w:p w14:paraId="1F1204B8"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6. </w:t>
            </w:r>
            <w:proofErr w:type="spellStart"/>
            <w:r>
              <w:rPr>
                <w:rFonts w:ascii="Times New Roman" w:eastAsia="Times New Roman" w:hAnsi="Times New Roman" w:cs="Times New Roman"/>
              </w:rPr>
              <w:t>Nasikun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2014. Indonesia's Social System. Jakarta: </w:t>
            </w:r>
            <w:proofErr w:type="spellStart"/>
            <w:r>
              <w:rPr>
                <w:rFonts w:ascii="Times New Roman" w:eastAsia="Times New Roman" w:hAnsi="Times New Roman" w:cs="Times New Roman"/>
                <w:sz w:val="24"/>
                <w:szCs w:val="24"/>
              </w:rPr>
              <w:t>Rajawali</w:t>
            </w:r>
            <w:proofErr w:type="spellEnd"/>
            <w:r>
              <w:rPr>
                <w:rFonts w:ascii="Times New Roman" w:eastAsia="Times New Roman" w:hAnsi="Times New Roman" w:cs="Times New Roman"/>
                <w:sz w:val="24"/>
                <w:szCs w:val="24"/>
              </w:rPr>
              <w:t xml:space="preserve"> Press.</w:t>
            </w:r>
          </w:p>
          <w:p w14:paraId="114BD406"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7. </w:t>
            </w:r>
            <w:proofErr w:type="spellStart"/>
            <w:r>
              <w:rPr>
                <w:rFonts w:ascii="Times New Roman" w:eastAsia="Times New Roman" w:hAnsi="Times New Roman" w:cs="Times New Roman"/>
              </w:rPr>
              <w:t>Ngadisah</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2003. </w:t>
            </w:r>
            <w:r>
              <w:rPr>
                <w:rFonts w:ascii="Times New Roman" w:eastAsia="Times New Roman" w:hAnsi="Times New Roman" w:cs="Times New Roman"/>
                <w:i/>
                <w:sz w:val="24"/>
                <w:szCs w:val="24"/>
              </w:rPr>
              <w:t>Development Conflicts and Sociopolitical Movements</w:t>
            </w:r>
            <w:r>
              <w:rPr>
                <w:rFonts w:ascii="Times New Roman" w:eastAsia="Times New Roman" w:hAnsi="Times New Roman" w:cs="Times New Roman"/>
                <w:sz w:val="24"/>
                <w:szCs w:val="24"/>
              </w:rPr>
              <w:t>. Yogyakarta: Pustaka Raja.</w:t>
            </w:r>
          </w:p>
          <w:p w14:paraId="2511A11B"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8. Pruitt, Dean G., Jeffry Z. Rubin</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2004. </w:t>
            </w:r>
            <w:r>
              <w:rPr>
                <w:rFonts w:ascii="Times New Roman" w:eastAsia="Times New Roman" w:hAnsi="Times New Roman" w:cs="Times New Roman"/>
                <w:i/>
                <w:sz w:val="24"/>
                <w:szCs w:val="24"/>
              </w:rPr>
              <w:t>Social Conflict Theory</w:t>
            </w:r>
            <w:r>
              <w:rPr>
                <w:rFonts w:ascii="Times New Roman" w:eastAsia="Times New Roman" w:hAnsi="Times New Roman" w:cs="Times New Roman"/>
                <w:sz w:val="24"/>
                <w:szCs w:val="24"/>
              </w:rPr>
              <w:t>. Yogyakarta: Student Library.</w:t>
            </w:r>
          </w:p>
          <w:p w14:paraId="305E41C1"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9. </w:t>
            </w:r>
            <w:proofErr w:type="spellStart"/>
            <w:r>
              <w:rPr>
                <w:rFonts w:ascii="Times New Roman" w:eastAsia="Times New Roman" w:hAnsi="Times New Roman" w:cs="Times New Roman"/>
              </w:rPr>
              <w:t>Ranjabar</w:t>
            </w:r>
            <w:proofErr w:type="spellEnd"/>
            <w:r>
              <w:rPr>
                <w:rFonts w:ascii="Times New Roman" w:eastAsia="Times New Roman" w:hAnsi="Times New Roman" w:cs="Times New Roman"/>
              </w:rPr>
              <w:t>, Jacobus</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i/>
                <w:sz w:val="24"/>
                <w:szCs w:val="24"/>
              </w:rPr>
              <w:t>Indonesia's Socio-Cultural System</w:t>
            </w:r>
            <w:r>
              <w:rPr>
                <w:rFonts w:ascii="Times New Roman" w:eastAsia="Times New Roman" w:hAnsi="Times New Roman" w:cs="Times New Roman"/>
                <w:sz w:val="24"/>
                <w:szCs w:val="24"/>
              </w:rPr>
              <w:t>. Ghalia Indonesia.</w:t>
            </w:r>
          </w:p>
          <w:p w14:paraId="2B0D64C1"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10. Ritzer.</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George. 1995. </w:t>
            </w:r>
            <w:r>
              <w:rPr>
                <w:rFonts w:ascii="Times New Roman" w:eastAsia="Times New Roman" w:hAnsi="Times New Roman" w:cs="Times New Roman"/>
                <w:i/>
              </w:rPr>
              <w:t>Sociology of Double-</w:t>
            </w:r>
            <w:proofErr w:type="spellStart"/>
            <w:r>
              <w:rPr>
                <w:rFonts w:ascii="Times New Roman" w:eastAsia="Times New Roman" w:hAnsi="Times New Roman" w:cs="Times New Roman"/>
                <w:i/>
              </w:rPr>
              <w:t>Paradigma</w:t>
            </w:r>
            <w:proofErr w:type="spellEnd"/>
            <w:r>
              <w:rPr>
                <w:rFonts w:ascii="Times New Roman" w:eastAsia="Times New Roman" w:hAnsi="Times New Roman" w:cs="Times New Roman"/>
                <w:i/>
              </w:rPr>
              <w:t xml:space="preserve"> Science</w:t>
            </w:r>
            <w:r>
              <w:rPr>
                <w:rFonts w:ascii="Times New Roman" w:eastAsia="Times New Roman" w:hAnsi="Times New Roman" w:cs="Times New Roman"/>
              </w:rPr>
              <w:t xml:space="preserve">. Jakarta: PT </w:t>
            </w:r>
            <w:proofErr w:type="spellStart"/>
            <w:r>
              <w:rPr>
                <w:rFonts w:ascii="Times New Roman" w:eastAsia="Times New Roman" w:hAnsi="Times New Roman" w:cs="Times New Roman"/>
              </w:rPr>
              <w:t>Rajawali</w:t>
            </w:r>
            <w:proofErr w:type="spellEnd"/>
            <w:r>
              <w:rPr>
                <w:rFonts w:ascii="Times New Roman" w:eastAsia="Times New Roman" w:hAnsi="Times New Roman" w:cs="Times New Roman"/>
              </w:rPr>
              <w:t xml:space="preserve"> Press.</w:t>
            </w:r>
          </w:p>
          <w:p w14:paraId="3BDEF936" w14:textId="77777777" w:rsidR="008A0174" w:rsidRDefault="00000000">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Stompka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Sociology of Change </w:t>
            </w:r>
            <w:proofErr w:type="spellStart"/>
            <w:r>
              <w:rPr>
                <w:rFonts w:ascii="Times New Roman" w:eastAsia="Times New Roman" w:hAnsi="Times New Roman" w:cs="Times New Roman"/>
                <w:i/>
              </w:rPr>
              <w:t>Sosial</w:t>
            </w:r>
            <w:proofErr w:type="spellEnd"/>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Jakarta: </w:t>
            </w:r>
            <w:proofErr w:type="spellStart"/>
            <w:r>
              <w:rPr>
                <w:rFonts w:ascii="Times New Roman" w:eastAsia="Times New Roman" w:hAnsi="Times New Roman" w:cs="Times New Roman"/>
              </w:rPr>
              <w:t>Prenada</w:t>
            </w:r>
            <w:proofErr w:type="spellEnd"/>
            <w:r>
              <w:rPr>
                <w:rFonts w:ascii="Times New Roman" w:eastAsia="Times New Roman" w:hAnsi="Times New Roman" w:cs="Times New Roman"/>
              </w:rPr>
              <w:t xml:space="preserve"> Media. 2004.</w:t>
            </w:r>
          </w:p>
          <w:p w14:paraId="740B4FD3" w14:textId="77777777" w:rsidR="008A0174" w:rsidRDefault="00000000">
            <w:pPr>
              <w:spacing w:after="0" w:line="240" w:lineRule="auto"/>
              <w:ind w:left="360" w:hanging="360"/>
              <w:rPr>
                <w:sz w:val="20"/>
                <w:szCs w:val="20"/>
              </w:rPr>
            </w:pPr>
            <w:r>
              <w:rPr>
                <w:sz w:val="20"/>
                <w:szCs w:val="20"/>
              </w:rPr>
              <w:t xml:space="preserve">12. </w:t>
            </w:r>
            <w:r>
              <w:rPr>
                <w:rFonts w:ascii="Times New Roman" w:eastAsia="Times New Roman" w:hAnsi="Times New Roman" w:cs="Times New Roman"/>
                <w:sz w:val="24"/>
                <w:szCs w:val="24"/>
              </w:rPr>
              <w:t xml:space="preserve">Sulistyaningsih, Tri, and Hijri, Yana </w:t>
            </w:r>
            <w:proofErr w:type="spellStart"/>
            <w:r>
              <w:rPr>
                <w:rFonts w:ascii="Times New Roman" w:eastAsia="Times New Roman" w:hAnsi="Times New Roman" w:cs="Times New Roman"/>
                <w:sz w:val="24"/>
                <w:szCs w:val="24"/>
              </w:rPr>
              <w:t>Syafriyana</w:t>
            </w:r>
            <w:proofErr w:type="spellEnd"/>
            <w:r>
              <w:rPr>
                <w:rFonts w:ascii="Times New Roman" w:eastAsia="Times New Roman" w:hAnsi="Times New Roman" w:cs="Times New Roman"/>
                <w:sz w:val="24"/>
                <w:szCs w:val="24"/>
              </w:rPr>
              <w:t xml:space="preserve">, 2006, </w:t>
            </w:r>
            <w:r>
              <w:rPr>
                <w:rFonts w:ascii="Times New Roman" w:eastAsia="Times New Roman" w:hAnsi="Times New Roman" w:cs="Times New Roman"/>
                <w:i/>
                <w:sz w:val="24"/>
                <w:szCs w:val="24"/>
              </w:rPr>
              <w:t>Understanding Multiculturalism Society in Social and Political Conflict Management (Study on Multi-Ethnic Communities in Malang City)</w:t>
            </w:r>
            <w:r>
              <w:rPr>
                <w:rFonts w:ascii="Times New Roman" w:eastAsia="Times New Roman" w:hAnsi="Times New Roman" w:cs="Times New Roman"/>
                <w:sz w:val="24"/>
                <w:szCs w:val="24"/>
              </w:rPr>
              <w:t>, Journal of Publica FISIP UMM, Edition VII.</w:t>
            </w:r>
            <w:r>
              <w:rPr>
                <w:sz w:val="20"/>
                <w:szCs w:val="20"/>
              </w:rPr>
              <w:t xml:space="preserve"> </w:t>
            </w:r>
          </w:p>
          <w:p w14:paraId="71024F3B" w14:textId="77777777" w:rsidR="008A0174" w:rsidRDefault="00000000">
            <w:pPr>
              <w:shd w:val="clear" w:color="auto" w:fill="F0F0A0"/>
              <w:spacing w:after="0" w:line="240" w:lineRule="auto"/>
              <w:ind w:left="360" w:hanging="360"/>
              <w:rPr>
                <w:color w:val="0F0F5F"/>
                <w:sz w:val="20"/>
                <w:szCs w:val="20"/>
              </w:rPr>
            </w:pPr>
            <w:bookmarkStart w:id="0" w:name="_heading=h.gjdgxs" w:colFirst="0" w:colLast="0"/>
            <w:bookmarkEnd w:id="0"/>
            <w:r>
              <w:rPr>
                <w:color w:val="0F0F5F"/>
                <w:sz w:val="20"/>
                <w:szCs w:val="20"/>
              </w:rPr>
              <w:t xml:space="preserve">13. </w:t>
            </w:r>
            <w:proofErr w:type="spellStart"/>
            <w:r>
              <w:rPr>
                <w:rFonts w:ascii="Times New Roman" w:eastAsia="Times New Roman" w:hAnsi="Times New Roman" w:cs="Times New Roman"/>
                <w:color w:val="0F0F5F"/>
                <w:sz w:val="24"/>
                <w:szCs w:val="24"/>
              </w:rPr>
              <w:t>Wirutomo</w:t>
            </w:r>
            <w:proofErr w:type="spellEnd"/>
            <w:r>
              <w:rPr>
                <w:rFonts w:ascii="Times New Roman" w:eastAsia="Times New Roman" w:hAnsi="Times New Roman" w:cs="Times New Roman"/>
                <w:color w:val="0F0F5F"/>
                <w:sz w:val="24"/>
                <w:szCs w:val="24"/>
              </w:rPr>
              <w:t>, Jacobus, 2015, Indonesian Social System, Depok, UI Press.</w:t>
            </w:r>
            <w:r>
              <w:rPr>
                <w:color w:val="0F0F5F"/>
                <w:sz w:val="20"/>
                <w:szCs w:val="20"/>
              </w:rPr>
              <w:t xml:space="preserve"> </w:t>
            </w:r>
          </w:p>
        </w:tc>
      </w:tr>
    </w:tbl>
    <w:p w14:paraId="0CDA06BA" w14:textId="77777777" w:rsidR="008A0174" w:rsidRDefault="008A0174"/>
    <w:sectPr w:rsidR="008A017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74"/>
    <w:rsid w:val="004210B3"/>
    <w:rsid w:val="008A01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F761"/>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qFormat/>
    <w:rsid w:val="00BE16CE"/>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aliases w:val="Body of text,List Paragraph1,List Paragraph1CxSpLast"/>
    <w:basedOn w:val="Normal"/>
    <w:link w:val="ListParagraphChar"/>
    <w:qFormat/>
    <w:rsid w:val="00BE16CE"/>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styleId="NoSpacing">
    <w:name w:val="No Spacing"/>
    <w:link w:val="NoSpacingChar"/>
    <w:qFormat/>
    <w:rsid w:val="00BE16CE"/>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rsid w:val="00BE16CE"/>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List Paragraph1CxSpLast Char"/>
    <w:link w:val="ListParagraph"/>
    <w:rsid w:val="00BE16CE"/>
    <w:rPr>
      <w:rFonts w:ascii="Times New Roman" w:eastAsia="Times New Roman" w:hAnsi="Times New Roman" w:cs="Times New Roman"/>
      <w:lang w:val="en-US"/>
    </w:rPr>
  </w:style>
  <w:style w:type="paragraph" w:styleId="FootnoteText">
    <w:name w:val="footnote text"/>
    <w:basedOn w:val="Normal"/>
    <w:link w:val="FootnoteTextChar"/>
    <w:uiPriority w:val="99"/>
    <w:semiHidden/>
    <w:rsid w:val="00BE16CE"/>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BE16CE"/>
    <w:rPr>
      <w:rFonts w:eastAsia="Times New Roman" w:cs="Times New Roman"/>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QtMiUKULd2cSqBa6QHTtQe2K8A==">AMUW2mUYJKuirOmMSlXEHVc0w+YU+9/TKklUnNkLoYlw1bZhJ3v34jJM4c3LzsYdGzSvDYXPkqfRUtyrwSxl5J2rdTqccHWrrLouGHGyhYEUDWoPe4sC1a8YPuHwjGgeKKmGPta2FDzw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Saipiatuddin</cp:lastModifiedBy>
  <cp:revision>2</cp:revision>
  <dcterms:created xsi:type="dcterms:W3CDTF">2024-02-12T03:53:00Z</dcterms:created>
  <dcterms:modified xsi:type="dcterms:W3CDTF">2024-02-12T03:53:00Z</dcterms:modified>
</cp:coreProperties>
</file>