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7B1C5" w14:textId="271F89DF" w:rsidR="00D2418E" w:rsidRDefault="00D143A9" w:rsidP="00080D0D">
      <w:pPr>
        <w:pBdr>
          <w:top w:val="nil"/>
          <w:left w:val="nil"/>
          <w:bottom w:val="nil"/>
          <w:right w:val="nil"/>
          <w:between w:val="nil"/>
        </w:pBdr>
        <w:ind w:left="8316"/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080D0D">
        <w:rPr>
          <w:rFonts w:asciiTheme="minorBidi" w:eastAsia="Times New Roman" w:hAnsiTheme="minorBidi" w:cstheme="minorBidi"/>
          <w:noProof/>
          <w:color w:val="000000"/>
          <w:sz w:val="20"/>
          <w:szCs w:val="20"/>
        </w:rPr>
        <w:drawing>
          <wp:inline distT="0" distB="0" distL="0" distR="0" wp14:anchorId="30B7796A" wp14:editId="09B9B373">
            <wp:extent cx="693293" cy="101155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293" cy="1011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F8FEC2" w14:textId="77777777" w:rsidR="00080D0D" w:rsidRPr="00080D0D" w:rsidRDefault="00080D0D" w:rsidP="00080D0D">
      <w:pPr>
        <w:pBdr>
          <w:top w:val="nil"/>
          <w:left w:val="nil"/>
          <w:bottom w:val="nil"/>
          <w:right w:val="nil"/>
          <w:between w:val="nil"/>
        </w:pBdr>
        <w:ind w:left="8316"/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14:paraId="4FEB8152" w14:textId="77777777" w:rsidR="00D2418E" w:rsidRPr="00080D0D" w:rsidRDefault="00D143A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2783" w:right="1945" w:firstLine="790"/>
        <w:rPr>
          <w:rFonts w:asciiTheme="minorBidi" w:eastAsia="Arial" w:hAnsiTheme="minorBidi" w:cstheme="minorBidi"/>
          <w:b/>
          <w:sz w:val="20"/>
          <w:szCs w:val="20"/>
        </w:rPr>
      </w:pPr>
      <w:r w:rsidRPr="00080D0D">
        <w:rPr>
          <w:rFonts w:asciiTheme="minorBidi" w:eastAsia="Arial" w:hAnsiTheme="minorBidi" w:cstheme="minorBidi"/>
          <w:b/>
          <w:sz w:val="20"/>
          <w:szCs w:val="20"/>
          <w:u w:val="single"/>
        </w:rPr>
        <w:t>Philosophy of Science</w:t>
      </w:r>
    </w:p>
    <w:p w14:paraId="18CD0DD1" w14:textId="77777777" w:rsidR="00D2418E" w:rsidRPr="00080D0D" w:rsidRDefault="00D143A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2783" w:right="1945"/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  <w:r w:rsidRPr="00080D0D">
        <w:rPr>
          <w:rFonts w:asciiTheme="minorBidi" w:eastAsia="Arial" w:hAnsiTheme="minorBidi" w:cstheme="minorBidi"/>
          <w:b/>
          <w:color w:val="000000"/>
          <w:sz w:val="20"/>
          <w:szCs w:val="20"/>
        </w:rPr>
        <w:t>according to the ECTS User’s Guide 2015</w:t>
      </w:r>
    </w:p>
    <w:p w14:paraId="0D97DB67" w14:textId="77777777" w:rsidR="00D2418E" w:rsidRPr="00080D0D" w:rsidRDefault="00D2418E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tbl>
      <w:tblPr>
        <w:tblStyle w:val="a"/>
        <w:tblW w:w="92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5856"/>
      </w:tblGrid>
      <w:tr w:rsidR="00D2418E" w:rsidRPr="00080D0D" w14:paraId="7457C596" w14:textId="77777777" w:rsidTr="00080D0D">
        <w:trPr>
          <w:trHeight w:val="475"/>
        </w:trPr>
        <w:tc>
          <w:tcPr>
            <w:tcW w:w="3414" w:type="dxa"/>
          </w:tcPr>
          <w:p w14:paraId="15C8B50B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Course unit title</w:t>
            </w:r>
          </w:p>
        </w:tc>
        <w:tc>
          <w:tcPr>
            <w:tcW w:w="5856" w:type="dxa"/>
          </w:tcPr>
          <w:p w14:paraId="4FD62A6E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</w:t>
            </w: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Philosophy of Science</w:t>
            </w:r>
          </w:p>
          <w:p w14:paraId="6626AA15" w14:textId="77777777" w:rsidR="00D2418E" w:rsidRPr="00080D0D" w:rsidRDefault="00D2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</w:tc>
      </w:tr>
      <w:tr w:rsidR="00D2418E" w:rsidRPr="00080D0D" w14:paraId="7659DDF7" w14:textId="77777777" w:rsidTr="00080D0D">
        <w:trPr>
          <w:trHeight w:val="475"/>
        </w:trPr>
        <w:tc>
          <w:tcPr>
            <w:tcW w:w="3414" w:type="dxa"/>
          </w:tcPr>
          <w:p w14:paraId="66440327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Course unit code</w:t>
            </w:r>
          </w:p>
        </w:tc>
        <w:tc>
          <w:tcPr>
            <w:tcW w:w="5856" w:type="dxa"/>
          </w:tcPr>
          <w:p w14:paraId="5A39CC27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47250232</w:t>
            </w:r>
          </w:p>
        </w:tc>
      </w:tr>
      <w:tr w:rsidR="00D2418E" w:rsidRPr="00080D0D" w14:paraId="71076CC5" w14:textId="77777777" w:rsidTr="00080D0D">
        <w:trPr>
          <w:trHeight w:val="475"/>
        </w:trPr>
        <w:tc>
          <w:tcPr>
            <w:tcW w:w="3414" w:type="dxa"/>
          </w:tcPr>
          <w:p w14:paraId="70A538D9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64" w:right="267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Type of course unit (compulsory, optional)</w:t>
            </w:r>
          </w:p>
        </w:tc>
        <w:tc>
          <w:tcPr>
            <w:tcW w:w="5856" w:type="dxa"/>
          </w:tcPr>
          <w:p w14:paraId="0D82E13C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Compulsory</w:t>
            </w:r>
          </w:p>
        </w:tc>
      </w:tr>
      <w:tr w:rsidR="00D2418E" w:rsidRPr="00080D0D" w14:paraId="433A8EA7" w14:textId="77777777" w:rsidTr="00080D0D">
        <w:trPr>
          <w:trHeight w:val="712"/>
        </w:trPr>
        <w:tc>
          <w:tcPr>
            <w:tcW w:w="3414" w:type="dxa"/>
          </w:tcPr>
          <w:p w14:paraId="44E4C7B0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64" w:right="213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Level of course unit (according to EQF: first cycle Bachelor, second cycle Master)</w:t>
            </w:r>
          </w:p>
        </w:tc>
        <w:tc>
          <w:tcPr>
            <w:tcW w:w="5856" w:type="dxa"/>
          </w:tcPr>
          <w:p w14:paraId="17CD8A2D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Bachelor Degree </w:t>
            </w:r>
          </w:p>
        </w:tc>
      </w:tr>
      <w:tr w:rsidR="00D2418E" w:rsidRPr="00080D0D" w14:paraId="7726D67F" w14:textId="77777777" w:rsidTr="00080D0D">
        <w:trPr>
          <w:trHeight w:val="711"/>
        </w:trPr>
        <w:tc>
          <w:tcPr>
            <w:tcW w:w="3414" w:type="dxa"/>
          </w:tcPr>
          <w:p w14:paraId="387F8040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ind w:left="64" w:right="81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Year of study when the course unit is delivered</w:t>
            </w:r>
          </w:p>
          <w:p w14:paraId="0E67DA17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64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5856" w:type="dxa"/>
          </w:tcPr>
          <w:p w14:paraId="412658BB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1</w:t>
            </w:r>
            <w:r w:rsidRPr="00080D0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year</w:t>
            </w:r>
          </w:p>
        </w:tc>
      </w:tr>
      <w:tr w:rsidR="00D2418E" w:rsidRPr="00080D0D" w14:paraId="6AA5AEE4" w14:textId="77777777" w:rsidTr="00080D0D">
        <w:trPr>
          <w:trHeight w:val="713"/>
        </w:trPr>
        <w:tc>
          <w:tcPr>
            <w:tcW w:w="3414" w:type="dxa"/>
          </w:tcPr>
          <w:p w14:paraId="27FFBACD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9" w:lineRule="auto"/>
              <w:ind w:left="64" w:right="267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Semester/trimester when the course unit is delivered</w:t>
            </w:r>
          </w:p>
        </w:tc>
        <w:tc>
          <w:tcPr>
            <w:tcW w:w="5856" w:type="dxa"/>
          </w:tcPr>
          <w:p w14:paraId="18AE1D45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2</w:t>
            </w: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nd</w:t>
            </w:r>
            <w:r w:rsidRPr="00080D0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 xml:space="preserve"> </w:t>
            </w:r>
            <w:r w:rsidRPr="00080D0D">
              <w:rPr>
                <w:rFonts w:asciiTheme="minorBidi" w:hAnsiTheme="minorBidi" w:cstheme="minorBidi"/>
                <w:sz w:val="20"/>
                <w:szCs w:val="20"/>
              </w:rPr>
              <w:t>semester</w:t>
            </w:r>
          </w:p>
        </w:tc>
      </w:tr>
      <w:tr w:rsidR="00D2418E" w:rsidRPr="00080D0D" w14:paraId="1A0D0F7A" w14:textId="77777777" w:rsidTr="00080D0D">
        <w:trPr>
          <w:trHeight w:val="475"/>
        </w:trPr>
        <w:tc>
          <w:tcPr>
            <w:tcW w:w="3414" w:type="dxa"/>
          </w:tcPr>
          <w:p w14:paraId="71333DF6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Number of ECTS credits allocated</w:t>
            </w:r>
          </w:p>
        </w:tc>
        <w:tc>
          <w:tcPr>
            <w:tcW w:w="5856" w:type="dxa"/>
          </w:tcPr>
          <w:p w14:paraId="55DCFE1A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3 ECTS</w:t>
            </w:r>
          </w:p>
        </w:tc>
      </w:tr>
      <w:tr w:rsidR="00D2418E" w:rsidRPr="00080D0D" w14:paraId="0C44F99C" w14:textId="77777777" w:rsidTr="00080D0D">
        <w:trPr>
          <w:trHeight w:val="475"/>
        </w:trPr>
        <w:tc>
          <w:tcPr>
            <w:tcW w:w="3414" w:type="dxa"/>
          </w:tcPr>
          <w:p w14:paraId="0217819B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Name of lecturer(s)</w:t>
            </w:r>
          </w:p>
        </w:tc>
        <w:tc>
          <w:tcPr>
            <w:tcW w:w="5856" w:type="dxa"/>
          </w:tcPr>
          <w:p w14:paraId="5AD3D952" w14:textId="52C10C6C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Rihlah Nur Am</w:t>
            </w:r>
            <w:r w:rsidR="00F9658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</w:t>
            </w: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lia, M.A.</w:t>
            </w:r>
          </w:p>
        </w:tc>
      </w:tr>
      <w:tr w:rsidR="00D2418E" w:rsidRPr="00080D0D" w14:paraId="72E71E40" w14:textId="77777777" w:rsidTr="00080D0D">
        <w:trPr>
          <w:trHeight w:val="713"/>
        </w:trPr>
        <w:tc>
          <w:tcPr>
            <w:tcW w:w="3414" w:type="dxa"/>
          </w:tcPr>
          <w:p w14:paraId="4D287F7B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64" w:right="246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Learning outcomes of the course unit</w:t>
            </w:r>
          </w:p>
        </w:tc>
        <w:tc>
          <w:tcPr>
            <w:tcW w:w="5856" w:type="dxa"/>
          </w:tcPr>
          <w:p w14:paraId="25AF7929" w14:textId="77777777" w:rsidR="00D2418E" w:rsidRPr="00080D0D" w:rsidRDefault="00D143A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 After taking this course, student able to:</w:t>
            </w:r>
          </w:p>
          <w:p w14:paraId="57C7EDD0" w14:textId="77777777" w:rsidR="00D2418E" w:rsidRPr="00080D0D" w:rsidRDefault="00D143A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Students are able to analyze the concept of understanding the </w:t>
            </w: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Science Philosophy</w:t>
            </w:r>
          </w:p>
          <w:p w14:paraId="2BFB2F30" w14:textId="77777777" w:rsidR="00D2418E" w:rsidRPr="00080D0D" w:rsidRDefault="00D143A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Students are able to analyze the dimensions of the study of </w:t>
            </w: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Science Philosophy</w:t>
            </w:r>
          </w:p>
          <w:p w14:paraId="5E4E0A1F" w14:textId="77777777" w:rsidR="00D2418E" w:rsidRPr="00080D0D" w:rsidRDefault="00D143A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>Students are able to develop and apply the concept o</w:t>
            </w: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f </w:t>
            </w: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Science Philosophy</w:t>
            </w:r>
          </w:p>
        </w:tc>
      </w:tr>
      <w:tr w:rsidR="00D2418E" w:rsidRPr="00080D0D" w14:paraId="29A74968" w14:textId="77777777" w:rsidTr="00080D0D">
        <w:trPr>
          <w:trHeight w:val="713"/>
        </w:trPr>
        <w:tc>
          <w:tcPr>
            <w:tcW w:w="3414" w:type="dxa"/>
          </w:tcPr>
          <w:p w14:paraId="27807909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64" w:right="473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Mode of delivery (face-to-face, distance learning)</w:t>
            </w:r>
          </w:p>
        </w:tc>
        <w:tc>
          <w:tcPr>
            <w:tcW w:w="5856" w:type="dxa"/>
          </w:tcPr>
          <w:p w14:paraId="06B00472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Face-to-face, Distance learning </w:t>
            </w:r>
          </w:p>
        </w:tc>
      </w:tr>
      <w:tr w:rsidR="00D2418E" w:rsidRPr="00080D0D" w14:paraId="3B9E944E" w14:textId="77777777" w:rsidTr="00080D0D">
        <w:trPr>
          <w:trHeight w:val="712"/>
        </w:trPr>
        <w:tc>
          <w:tcPr>
            <w:tcW w:w="3414" w:type="dxa"/>
          </w:tcPr>
          <w:p w14:paraId="11B7D2E8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64" w:right="42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Prerequisites and co-requisites (if applicable)</w:t>
            </w:r>
          </w:p>
        </w:tc>
        <w:tc>
          <w:tcPr>
            <w:tcW w:w="5856" w:type="dxa"/>
          </w:tcPr>
          <w:p w14:paraId="5422C3A1" w14:textId="77777777" w:rsidR="00D2418E" w:rsidRPr="00080D0D" w:rsidRDefault="00D143A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 Introduction to Learning and Learning Theory</w:t>
            </w:r>
          </w:p>
          <w:p w14:paraId="54B7DDEA" w14:textId="77777777" w:rsidR="00D2418E" w:rsidRPr="00080D0D" w:rsidRDefault="00D143A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 Introduction to Student Development</w:t>
            </w:r>
          </w:p>
          <w:p w14:paraId="2CC93F76" w14:textId="77777777" w:rsidR="00D2418E" w:rsidRPr="00080D0D" w:rsidRDefault="00D143A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 Introduction to Education Insights</w:t>
            </w:r>
          </w:p>
          <w:p w14:paraId="3F946975" w14:textId="77777777" w:rsidR="00D2418E" w:rsidRPr="00080D0D" w:rsidRDefault="00D143A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 Introduction to Foundations of Education</w:t>
            </w:r>
          </w:p>
        </w:tc>
      </w:tr>
      <w:tr w:rsidR="00D2418E" w:rsidRPr="00080D0D" w14:paraId="224C5FCA" w14:textId="77777777" w:rsidTr="00080D0D">
        <w:trPr>
          <w:trHeight w:val="475"/>
        </w:trPr>
        <w:tc>
          <w:tcPr>
            <w:tcW w:w="3414" w:type="dxa"/>
          </w:tcPr>
          <w:p w14:paraId="4DAC5644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4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Course content</w:t>
            </w:r>
          </w:p>
        </w:tc>
        <w:tc>
          <w:tcPr>
            <w:tcW w:w="5856" w:type="dxa"/>
          </w:tcPr>
          <w:p w14:paraId="6776580D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The definition of philosophy to the field of study of philosophy</w:t>
            </w:r>
          </w:p>
          <w:p w14:paraId="421CD366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Schools/schools in philosophy to the interweaving of science, philosophy and religion</w:t>
            </w:r>
          </w:p>
          <w:p w14:paraId="66E6C060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Definition of philosophy of science</w:t>
            </w:r>
          </w:p>
          <w:p w14:paraId="3D6F184A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Philosophy of science and history of philosophy of science.</w:t>
            </w:r>
          </w:p>
          <w:p w14:paraId="6A039A8F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The funct</w:t>
            </w: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ion and direction of the philosophy of science.</w:t>
            </w:r>
          </w:p>
          <w:p w14:paraId="274D4B53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The substance of the philosophy of science</w:t>
            </w:r>
          </w:p>
          <w:p w14:paraId="5B4F6DCB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Confirmation and inference logic</w:t>
            </w:r>
          </w:p>
          <w:p w14:paraId="1133D8E5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Review the construction of the theory</w:t>
            </w:r>
          </w:p>
          <w:p w14:paraId="0D147BFF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Mid Term Examination</w:t>
            </w:r>
          </w:p>
          <w:p w14:paraId="65E59EF4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Dimensions of the study of the philosophy of science: Ontology</w:t>
            </w:r>
          </w:p>
          <w:p w14:paraId="350FF51F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Dimensions</w:t>
            </w: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of the study of the philosophy of science: Epistemology</w:t>
            </w:r>
          </w:p>
          <w:p w14:paraId="403B711E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Dimensions of the study of the philosophy of science: Axiology</w:t>
            </w:r>
          </w:p>
          <w:p w14:paraId="436F50FC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lastRenderedPageBreak/>
              <w:t>Development of theory and alternative methodologies</w:t>
            </w:r>
          </w:p>
          <w:p w14:paraId="20829928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Development of science and technology and the functional relationship of religion, p</w:t>
            </w: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hilosophy and science</w:t>
            </w:r>
          </w:p>
          <w:p w14:paraId="4D3A638E" w14:textId="77777777" w:rsidR="00D2418E" w:rsidRPr="00080D0D" w:rsidRDefault="00D143A9">
            <w:pPr>
              <w:numPr>
                <w:ilvl w:val="0"/>
                <w:numId w:val="2"/>
              </w:numP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Implications and implementation of the philosophy of science in development and science and education.</w:t>
            </w:r>
          </w:p>
          <w:p w14:paraId="540A1820" w14:textId="77777777" w:rsidR="00D2418E" w:rsidRPr="00080D0D" w:rsidRDefault="00D143A9">
            <w:pPr>
              <w:numPr>
                <w:ilvl w:val="0"/>
                <w:numId w:val="2"/>
              </w:numPr>
              <w:spacing w:after="120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Final Examination</w:t>
            </w:r>
          </w:p>
        </w:tc>
      </w:tr>
      <w:tr w:rsidR="00D2418E" w:rsidRPr="00080D0D" w14:paraId="3A21924A" w14:textId="77777777" w:rsidTr="00080D0D">
        <w:trPr>
          <w:trHeight w:val="713"/>
        </w:trPr>
        <w:tc>
          <w:tcPr>
            <w:tcW w:w="3414" w:type="dxa"/>
          </w:tcPr>
          <w:p w14:paraId="67038BE4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lastRenderedPageBreak/>
              <w:t>Recommended or required</w:t>
            </w:r>
          </w:p>
          <w:p w14:paraId="0E1A9CEC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855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reading and other learning resources/tools</w:t>
            </w:r>
          </w:p>
        </w:tc>
        <w:tc>
          <w:tcPr>
            <w:tcW w:w="5856" w:type="dxa"/>
          </w:tcPr>
          <w:p w14:paraId="2E02BD36" w14:textId="77777777" w:rsidR="00D2418E" w:rsidRPr="00080D0D" w:rsidRDefault="00D143A9">
            <w:pPr>
              <w:numPr>
                <w:ilvl w:val="0"/>
                <w:numId w:val="3"/>
              </w:numPr>
              <w:spacing w:after="240"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>Books and journals related to the philosophy of science</w:t>
            </w:r>
          </w:p>
        </w:tc>
      </w:tr>
      <w:tr w:rsidR="00D2418E" w:rsidRPr="00080D0D" w14:paraId="1C7181C9" w14:textId="77777777" w:rsidTr="00080D0D">
        <w:trPr>
          <w:trHeight w:val="713"/>
        </w:trPr>
        <w:tc>
          <w:tcPr>
            <w:tcW w:w="3414" w:type="dxa"/>
          </w:tcPr>
          <w:p w14:paraId="34F5FA46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64" w:right="462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Planned learning activities and teaching methods</w:t>
            </w:r>
          </w:p>
        </w:tc>
        <w:tc>
          <w:tcPr>
            <w:tcW w:w="5856" w:type="dxa"/>
          </w:tcPr>
          <w:p w14:paraId="5B8F1DA7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Teaching large group, demonstrating in practical </w:t>
            </w:r>
            <w:r w:rsidRPr="00080D0D">
              <w:rPr>
                <w:rFonts w:asciiTheme="minorBidi" w:hAnsiTheme="minorBidi" w:cstheme="minorBidi"/>
                <w:sz w:val="20"/>
                <w:szCs w:val="20"/>
              </w:rPr>
              <w:t>classes</w:t>
            </w:r>
          </w:p>
        </w:tc>
      </w:tr>
      <w:tr w:rsidR="00D2418E" w:rsidRPr="00080D0D" w14:paraId="398D5CD6" w14:textId="77777777" w:rsidTr="00080D0D">
        <w:trPr>
          <w:trHeight w:val="475"/>
        </w:trPr>
        <w:tc>
          <w:tcPr>
            <w:tcW w:w="3414" w:type="dxa"/>
          </w:tcPr>
          <w:p w14:paraId="498CC7FF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4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56" w:type="dxa"/>
          </w:tcPr>
          <w:p w14:paraId="38E16285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Arabic, </w:t>
            </w:r>
            <w:r w:rsidRPr="00080D0D">
              <w:rPr>
                <w:rFonts w:asciiTheme="minorBidi" w:hAnsiTheme="minorBidi" w:cstheme="minorBidi"/>
                <w:sz w:val="20"/>
                <w:szCs w:val="20"/>
              </w:rPr>
              <w:t>Indonesian</w:t>
            </w:r>
          </w:p>
        </w:tc>
      </w:tr>
      <w:tr w:rsidR="00D2418E" w:rsidRPr="00080D0D" w14:paraId="476D2822" w14:textId="77777777" w:rsidTr="00080D0D">
        <w:trPr>
          <w:trHeight w:val="475"/>
        </w:trPr>
        <w:tc>
          <w:tcPr>
            <w:tcW w:w="3414" w:type="dxa"/>
          </w:tcPr>
          <w:p w14:paraId="7F2F5362" w14:textId="77777777" w:rsidR="00D2418E" w:rsidRPr="00080D0D" w:rsidRDefault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64" w:right="473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80D0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Assessment methods and criteria</w:t>
            </w:r>
          </w:p>
        </w:tc>
        <w:tc>
          <w:tcPr>
            <w:tcW w:w="5856" w:type="dxa"/>
          </w:tcPr>
          <w:p w14:paraId="3F3EFC20" w14:textId="77777777" w:rsidR="00080D0D" w:rsidRPr="007E6D4D" w:rsidRDefault="00D143A9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80D0D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</w:t>
            </w:r>
            <w:r w:rsidR="00080D0D" w:rsidRPr="00D976F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Performance, Product, Practice</w:t>
            </w:r>
          </w:p>
          <w:p w14:paraId="6E5B3C07" w14:textId="77777777" w:rsidR="00080D0D" w:rsidRPr="00D976FD" w:rsidRDefault="00080D0D" w:rsidP="00080D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Components and assessment weight in percentage:</w:t>
            </w:r>
          </w:p>
          <w:p w14:paraId="3D1AC1AB" w14:textId="77777777" w:rsidR="00080D0D" w:rsidRPr="00D976FD" w:rsidRDefault="00080D0D" w:rsidP="00080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Attitude 10 %</w:t>
            </w:r>
          </w:p>
          <w:p w14:paraId="468490F7" w14:textId="77777777" w:rsidR="00080D0D" w:rsidRPr="00D976FD" w:rsidRDefault="00080D0D" w:rsidP="00080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General skills 30 %</w:t>
            </w:r>
          </w:p>
          <w:p w14:paraId="66BA3762" w14:textId="77777777" w:rsidR="00080D0D" w:rsidRPr="00D976FD" w:rsidRDefault="00080D0D" w:rsidP="00080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Special skills 30%</w:t>
            </w:r>
          </w:p>
          <w:p w14:paraId="10EB9AC6" w14:textId="77777777" w:rsidR="00080D0D" w:rsidRPr="00D976FD" w:rsidRDefault="00080D0D" w:rsidP="00080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Knowledge 30%</w:t>
            </w:r>
          </w:p>
          <w:p w14:paraId="399D4E2F" w14:textId="77777777" w:rsidR="00080D0D" w:rsidRPr="00D976FD" w:rsidRDefault="00080D0D" w:rsidP="00080D0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Assessment strategy:</w:t>
            </w:r>
          </w:p>
          <w:p w14:paraId="62CD3A03" w14:textId="77777777" w:rsidR="00080D0D" w:rsidRPr="00D976FD" w:rsidRDefault="00080D0D" w:rsidP="00080D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Midterm exam &amp; Final exams.</w:t>
            </w:r>
          </w:p>
          <w:p w14:paraId="7637763B" w14:textId="77777777" w:rsidR="00080D0D" w:rsidRPr="00D976FD" w:rsidRDefault="00080D0D" w:rsidP="00080D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Non-test (Group presentation &amp; Attendance).</w:t>
            </w:r>
          </w:p>
          <w:p w14:paraId="48BF99EA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tbl>
            <w:tblPr>
              <w:tblW w:w="54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3"/>
              <w:gridCol w:w="1061"/>
              <w:gridCol w:w="1134"/>
              <w:gridCol w:w="992"/>
              <w:gridCol w:w="851"/>
            </w:tblGrid>
            <w:tr w:rsidR="00080D0D" w:rsidRPr="00D976FD" w14:paraId="3037BEEC" w14:textId="77777777" w:rsidTr="003138F8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79806FCF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Assessment Strategy</w:t>
                  </w:r>
                </w:p>
              </w:tc>
              <w:tc>
                <w:tcPr>
                  <w:tcW w:w="1061" w:type="dxa"/>
                  <w:shd w:val="clear" w:color="auto" w:fill="D9D9D9"/>
                  <w:vAlign w:val="center"/>
                </w:tcPr>
                <w:p w14:paraId="4F4E552E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Attitude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0B269EA8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General Skills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63A13772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Special skill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3AD8F4E5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Knowledge</w:t>
                  </w:r>
                </w:p>
              </w:tc>
            </w:tr>
            <w:tr w:rsidR="00080D0D" w:rsidRPr="00D976FD" w14:paraId="4A375ED1" w14:textId="77777777" w:rsidTr="003138F8">
              <w:trPr>
                <w:trHeight w:val="559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5A43362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i/>
                      <w:color w:val="000000"/>
                      <w:sz w:val="20"/>
                      <w:szCs w:val="20"/>
                    </w:rPr>
                    <w:t>Achievement test</w:t>
                  </w:r>
                </w:p>
              </w:tc>
              <w:tc>
                <w:tcPr>
                  <w:tcW w:w="1061" w:type="dxa"/>
                  <w:vAlign w:val="center"/>
                </w:tcPr>
                <w:p w14:paraId="675413A9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1134" w:type="dxa"/>
                  <w:vAlign w:val="center"/>
                </w:tcPr>
                <w:p w14:paraId="1F832B2A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061BABE6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6E9E4E86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</w:tr>
            <w:tr w:rsidR="00080D0D" w:rsidRPr="00D976FD" w14:paraId="3A3DC543" w14:textId="77777777" w:rsidTr="003138F8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493D66BF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Performance assessment</w:t>
                  </w:r>
                </w:p>
              </w:tc>
              <w:tc>
                <w:tcPr>
                  <w:tcW w:w="1061" w:type="dxa"/>
                  <w:vAlign w:val="center"/>
                </w:tcPr>
                <w:p w14:paraId="539B79AA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974527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5C44AD34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51B57B08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</w:tr>
            <w:tr w:rsidR="00080D0D" w:rsidRPr="00D976FD" w14:paraId="51EBE183" w14:textId="77777777" w:rsidTr="003138F8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EC56FA2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Portofolio</w:t>
                  </w:r>
                </w:p>
              </w:tc>
              <w:tc>
                <w:tcPr>
                  <w:tcW w:w="1061" w:type="dxa"/>
                  <w:vAlign w:val="center"/>
                </w:tcPr>
                <w:p w14:paraId="275880F4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57E816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0C6F467F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23F039F3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</w:tr>
            <w:tr w:rsidR="00080D0D" w:rsidRPr="00D976FD" w14:paraId="48544B85" w14:textId="77777777" w:rsidTr="003138F8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1374E4E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 xml:space="preserve">Observation </w:t>
                  </w:r>
                </w:p>
              </w:tc>
              <w:tc>
                <w:tcPr>
                  <w:tcW w:w="1061" w:type="dxa"/>
                  <w:vAlign w:val="center"/>
                </w:tcPr>
                <w:p w14:paraId="21C3FFDF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3BD950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4E0CC0F5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5A534A3F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</w:tr>
            <w:tr w:rsidR="00080D0D" w:rsidRPr="00D976FD" w14:paraId="2F5505E5" w14:textId="77777777" w:rsidTr="003138F8">
              <w:trPr>
                <w:trHeight w:val="302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4E21816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Survey</w:t>
                  </w:r>
                </w:p>
              </w:tc>
              <w:tc>
                <w:tcPr>
                  <w:tcW w:w="1061" w:type="dxa"/>
                  <w:vAlign w:val="center"/>
                </w:tcPr>
                <w:p w14:paraId="50C2FDFA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962E91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="Cambria Math" w:eastAsia="Cambria Math" w:hAnsi="Cambria Math" w:cs="Cambria Math"/>
                      <w:b/>
                      <w:color w:val="000000"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13856D36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851" w:type="dxa"/>
                  <w:vAlign w:val="center"/>
                </w:tcPr>
                <w:p w14:paraId="00BB5FC0" w14:textId="77777777" w:rsidR="00080D0D" w:rsidRPr="00D976FD" w:rsidRDefault="00080D0D" w:rsidP="00080D0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○</w:t>
                  </w:r>
                </w:p>
              </w:tc>
            </w:tr>
          </w:tbl>
          <w:p w14:paraId="6BCFDE0F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14:paraId="2086CFD0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○ Not used in assessment</w:t>
            </w:r>
          </w:p>
          <w:p w14:paraId="6EDF1F13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  <w:t>◑</w:t>
            </w: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 xml:space="preserve"> Sometimes used in certain assessment cases</w:t>
            </w:r>
          </w:p>
          <w:p w14:paraId="00B804CE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● Often used to assess the skill in question</w:t>
            </w:r>
          </w:p>
          <w:p w14:paraId="2E9D11B4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14:paraId="5ABCE914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- Attitude (including 21st Century Skills according to the categorization of the Minister of Education and Culture: Communication, Collaboration, Critical thinking, Creative thinking, Computational logic, Compassion and civic responsibility)</w:t>
            </w:r>
          </w:p>
          <w:p w14:paraId="1C467C92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- General Skills (Covering 21st Century Skills and Digital Literacy)</w:t>
            </w:r>
          </w:p>
          <w:p w14:paraId="5725B62B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- The assessment strategy is adjusted to the activities carried out by students in the course.</w:t>
            </w:r>
          </w:p>
          <w:p w14:paraId="5CCA7440" w14:textId="77777777" w:rsidR="00080D0D" w:rsidRPr="00D976F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</w:p>
          <w:p w14:paraId="254308C8" w14:textId="0071915D" w:rsidR="00080D0D" w:rsidRPr="00D976FD" w:rsidRDefault="00080D0D" w:rsidP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2. Instruments: multiple choice questions on the quiziz application</w:t>
            </w:r>
          </w:p>
          <w:p w14:paraId="17B4981B" w14:textId="77777777" w:rsidR="00080D0D" w:rsidRDefault="00080D0D" w:rsidP="00080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3. Assessment criteria</w:t>
            </w:r>
          </w:p>
          <w:p w14:paraId="3B5B493F" w14:textId="1FE24A92" w:rsidR="00F96584" w:rsidRDefault="00080D0D" w:rsidP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D976FD"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Students are categorized as passing this course if they have a minimum final grade of C based on the following range of assessments:</w:t>
            </w:r>
          </w:p>
          <w:p w14:paraId="475375D7" w14:textId="77777777" w:rsidR="00D143A9" w:rsidRPr="00D976FD" w:rsidRDefault="00D143A9" w:rsidP="00D1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W w:w="54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97"/>
              <w:gridCol w:w="869"/>
              <w:gridCol w:w="1327"/>
              <w:gridCol w:w="1426"/>
            </w:tblGrid>
            <w:tr w:rsidR="00080D0D" w:rsidRPr="00D976FD" w14:paraId="12B59F1F" w14:textId="77777777" w:rsidTr="003138F8">
              <w:trPr>
                <w:trHeight w:val="735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3F414B03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Mastery Level (%)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46E78303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Letter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3A99EA86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3DC6E7C1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b/>
                      <w:color w:val="000000"/>
                      <w:sz w:val="20"/>
                      <w:szCs w:val="20"/>
                    </w:rPr>
                    <w:t>Information</w:t>
                  </w:r>
                </w:p>
              </w:tc>
            </w:tr>
            <w:tr w:rsidR="00080D0D" w:rsidRPr="00D976FD" w14:paraId="084F82E8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A63117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86 – 100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62E79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1C01B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3B83B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80D0D" w:rsidRPr="00D976FD" w14:paraId="016D3BEA" w14:textId="77777777" w:rsidTr="003138F8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5DBF17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lastRenderedPageBreak/>
                    <w:t>81 – 85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78DA21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54F8BB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7087C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80D0D" w:rsidRPr="00D976FD" w14:paraId="44F54C1C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042B1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76 – 80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2B7377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98880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68266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80D0D" w:rsidRPr="00D976FD" w14:paraId="53E695F7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75ABD6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71 – 75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DE62A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3C6A7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68D600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80D0D" w:rsidRPr="00D976FD" w14:paraId="1A7DE264" w14:textId="77777777" w:rsidTr="003138F8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40803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66 – 70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84286B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F55BC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8BE00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80D0D" w:rsidRPr="00D976FD" w14:paraId="2CFCF5DE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62C861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61 – 65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E17F6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C+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DA39B2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E428C5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80D0D" w:rsidRPr="00D976FD" w14:paraId="5FC3D502" w14:textId="77777777" w:rsidTr="003138F8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1197D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56 – 60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BDA6E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777EA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0308F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Pass</w:t>
                  </w:r>
                </w:p>
              </w:tc>
            </w:tr>
            <w:tr w:rsidR="00080D0D" w:rsidRPr="00D976FD" w14:paraId="483C37E5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6CF9FB1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51 – 55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162E2DB5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C-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049C3B85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8A40AB8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080D0D" w:rsidRPr="00D976FD" w14:paraId="5404A714" w14:textId="77777777" w:rsidTr="003138F8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9391A31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46 – 50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2EAEA703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D49F66D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197FB9B9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080D0D" w:rsidRPr="00D976FD" w14:paraId="3D16F95B" w14:textId="77777777" w:rsidTr="003138F8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518A7EEF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0 – 45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9347A67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D48AA9D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7C64A22" w14:textId="77777777" w:rsidR="00080D0D" w:rsidRPr="00D976FD" w:rsidRDefault="00080D0D" w:rsidP="00080D0D">
                  <w:pPr>
                    <w:jc w:val="center"/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</w:pPr>
                  <w:r w:rsidRPr="00D976FD">
                    <w:rPr>
                      <w:rFonts w:asciiTheme="minorBidi" w:eastAsia="Arial" w:hAnsiTheme="minorBidi" w:cstheme="minorBidi"/>
                      <w:color w:val="000000"/>
                      <w:sz w:val="20"/>
                      <w:szCs w:val="20"/>
                    </w:rPr>
                    <w:t>Not Graduated</w:t>
                  </w:r>
                </w:p>
              </w:tc>
            </w:tr>
          </w:tbl>
          <w:p w14:paraId="559EC80B" w14:textId="0E525503" w:rsidR="00D2418E" w:rsidRPr="00080D0D" w:rsidRDefault="00D2418E">
            <w:pP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</w:tc>
      </w:tr>
    </w:tbl>
    <w:p w14:paraId="41A98DE6" w14:textId="77777777" w:rsidR="00D2418E" w:rsidRPr="00080D0D" w:rsidRDefault="00D2418E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20B57976" w14:textId="77777777" w:rsidR="00D2418E" w:rsidRPr="00080D0D" w:rsidRDefault="00D2418E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6D017397" w14:textId="77777777" w:rsidR="00D2418E" w:rsidRPr="00080D0D" w:rsidRDefault="00D2418E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6BBC4BE2" w14:textId="77777777" w:rsidR="00D2418E" w:rsidRPr="00080D0D" w:rsidRDefault="00D2418E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31B809D3" w14:textId="77777777" w:rsidR="00D2418E" w:rsidRPr="00080D0D" w:rsidRDefault="00D2418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Bidi" w:eastAsia="Arial" w:hAnsiTheme="minorBidi" w:cstheme="minorBidi"/>
          <w:b/>
          <w:color w:val="000000"/>
          <w:sz w:val="20"/>
          <w:szCs w:val="20"/>
        </w:rPr>
      </w:pPr>
    </w:p>
    <w:p w14:paraId="7C5DACB4" w14:textId="77777777" w:rsidR="00D2418E" w:rsidRPr="00080D0D" w:rsidRDefault="00D143A9">
      <w:pPr>
        <w:ind w:left="253"/>
        <w:rPr>
          <w:rFonts w:asciiTheme="minorBidi" w:eastAsia="Times New Roman" w:hAnsiTheme="minorBidi" w:cstheme="minorBidi"/>
          <w:sz w:val="20"/>
          <w:szCs w:val="20"/>
        </w:rPr>
      </w:pPr>
      <w:r w:rsidRPr="00080D0D">
        <w:rPr>
          <w:rFonts w:asciiTheme="minorBidi" w:eastAsia="Times New Roman" w:hAnsiTheme="minorBidi" w:cstheme="minorBidi"/>
          <w:sz w:val="20"/>
          <w:szCs w:val="20"/>
        </w:rPr>
        <w:t>© FIBAA – December 2020</w:t>
      </w:r>
    </w:p>
    <w:sectPr w:rsidR="00D2418E" w:rsidRPr="00080D0D">
      <w:pgSz w:w="11200" w:h="15840"/>
      <w:pgMar w:top="660" w:right="600" w:bottom="2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6D8E"/>
    <w:multiLevelType w:val="multilevel"/>
    <w:tmpl w:val="803E58CC"/>
    <w:lvl w:ilvl="0">
      <w:start w:val="1"/>
      <w:numFmt w:val="lowerLetter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A0E392F"/>
    <w:multiLevelType w:val="multilevel"/>
    <w:tmpl w:val="04E64538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46D30"/>
    <w:multiLevelType w:val="multilevel"/>
    <w:tmpl w:val="171E5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B67093"/>
    <w:multiLevelType w:val="multilevel"/>
    <w:tmpl w:val="1FF2F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DB33D78"/>
    <w:multiLevelType w:val="multilevel"/>
    <w:tmpl w:val="E51617EC"/>
    <w:lvl w:ilvl="0">
      <w:start w:val="1"/>
      <w:numFmt w:val="lowerLetter"/>
      <w:lvlText w:val="%1)"/>
      <w:lvlJc w:val="left"/>
      <w:pPr>
        <w:ind w:left="789" w:hanging="359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7DEE725A"/>
    <w:multiLevelType w:val="multilevel"/>
    <w:tmpl w:val="5C963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8E"/>
    <w:rsid w:val="00080D0D"/>
    <w:rsid w:val="00CB4B62"/>
    <w:rsid w:val="00D143A9"/>
    <w:rsid w:val="00D2418E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15B1"/>
  <w15:docId w15:val="{D463E4A6-8DA9-42FE-A7A9-8BDDB6CE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n-US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table" w:customStyle="1" w:styleId="TableNormal1">
    <w:name w:val="Table Normal1"/>
    <w:uiPriority w:val="2"/>
    <w:semiHidden/>
    <w:unhideWhenUsed/>
    <w:qFormat/>
    <w:rsid w:val="00244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CCbl0NFg63Y2FsZZaiCTrNdsVQ==">AMUW2mVdpaGLHa+vz8vU/9q+rAnSN3Pnkryz7DHm30Vvjx3ESK3Ov1RGuysVdRd+GKlEZ+u+skLh2iixUlQheTCkH7CVkzjqaY9IZW4HvyF4xNtAka5CvtI=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hadadi</dc:creator>
  <cp:lastModifiedBy>Liza Zullayni</cp:lastModifiedBy>
  <cp:revision>5</cp:revision>
  <dcterms:created xsi:type="dcterms:W3CDTF">2023-02-07T07:53:00Z</dcterms:created>
  <dcterms:modified xsi:type="dcterms:W3CDTF">2023-02-20T08:12:00Z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2023-02-07T00:00:00Z</vt:filetime>
  </property>
</Properties>
</file>