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0271" w14:textId="77777777" w:rsidR="003C33A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Modul Description</w:t>
      </w:r>
    </w:p>
    <w:tbl>
      <w:tblPr>
        <w:tblStyle w:val="a"/>
        <w:tblW w:w="902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756"/>
      </w:tblGrid>
      <w:tr w:rsidR="003C33A9" w14:paraId="31226014" w14:textId="77777777">
        <w:trPr>
          <w:trHeight w:val="345"/>
        </w:trPr>
        <w:tc>
          <w:tcPr>
            <w:tcW w:w="2273" w:type="dxa"/>
          </w:tcPr>
          <w:p w14:paraId="3EE18164"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name</w:t>
            </w:r>
          </w:p>
        </w:tc>
        <w:tc>
          <w:tcPr>
            <w:tcW w:w="6756" w:type="dxa"/>
            <w:shd w:val="clear" w:color="auto" w:fill="F1F1F1"/>
          </w:tcPr>
          <w:p w14:paraId="6C2DB916"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Change and Globalization</w:t>
            </w:r>
          </w:p>
        </w:tc>
      </w:tr>
      <w:tr w:rsidR="003C33A9" w14:paraId="5182C1D8" w14:textId="77777777">
        <w:trPr>
          <w:trHeight w:val="549"/>
        </w:trPr>
        <w:tc>
          <w:tcPr>
            <w:tcW w:w="2273" w:type="dxa"/>
          </w:tcPr>
          <w:p w14:paraId="0ECCA614" w14:textId="77777777" w:rsidR="003C33A9" w:rsidRDefault="00000000">
            <w:pPr>
              <w:widowControl w:val="0"/>
              <w:pBdr>
                <w:top w:val="nil"/>
                <w:left w:val="nil"/>
                <w:bottom w:val="nil"/>
                <w:right w:val="nil"/>
                <w:between w:val="nil"/>
              </w:pBdr>
              <w:spacing w:after="0"/>
              <w:ind w:left="106" w:right="5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level, if applicable</w:t>
            </w:r>
          </w:p>
        </w:tc>
        <w:tc>
          <w:tcPr>
            <w:tcW w:w="6756" w:type="dxa"/>
            <w:shd w:val="clear" w:color="auto" w:fill="F1F1F1"/>
          </w:tcPr>
          <w:p w14:paraId="5C0BF354"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w:t>
            </w:r>
          </w:p>
        </w:tc>
      </w:tr>
      <w:tr w:rsidR="003C33A9" w14:paraId="3EB6C4C4" w14:textId="77777777">
        <w:trPr>
          <w:trHeight w:val="344"/>
        </w:trPr>
        <w:tc>
          <w:tcPr>
            <w:tcW w:w="2273" w:type="dxa"/>
          </w:tcPr>
          <w:p w14:paraId="20535DA1" w14:textId="77777777" w:rsidR="003C33A9"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Code, if applicable</w:t>
            </w:r>
          </w:p>
        </w:tc>
        <w:tc>
          <w:tcPr>
            <w:tcW w:w="6756" w:type="dxa"/>
            <w:shd w:val="clear" w:color="auto" w:fill="F1F1F1"/>
          </w:tcPr>
          <w:p w14:paraId="393B9B04" w14:textId="77777777" w:rsidR="003C33A9"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49150992</w:t>
            </w:r>
          </w:p>
        </w:tc>
      </w:tr>
      <w:tr w:rsidR="003C33A9" w14:paraId="6C30F5C1" w14:textId="77777777">
        <w:trPr>
          <w:trHeight w:val="550"/>
        </w:trPr>
        <w:tc>
          <w:tcPr>
            <w:tcW w:w="2273" w:type="dxa"/>
          </w:tcPr>
          <w:p w14:paraId="04A764A7" w14:textId="77777777" w:rsidR="003C33A9" w:rsidRDefault="00000000">
            <w:pPr>
              <w:widowControl w:val="0"/>
              <w:pBdr>
                <w:top w:val="nil"/>
                <w:left w:val="nil"/>
                <w:bottom w:val="nil"/>
                <w:right w:val="nil"/>
                <w:between w:val="nil"/>
              </w:pBdr>
              <w:spacing w:after="0"/>
              <w:ind w:left="106" w:right="10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Subtitle, if applicable</w:t>
            </w:r>
          </w:p>
        </w:tc>
        <w:tc>
          <w:tcPr>
            <w:tcW w:w="6756" w:type="dxa"/>
            <w:shd w:val="clear" w:color="auto" w:fill="F1F1F1"/>
          </w:tcPr>
          <w:p w14:paraId="24CD1F28"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C33A9" w14:paraId="5C2CB6AA" w14:textId="77777777">
        <w:trPr>
          <w:trHeight w:val="552"/>
        </w:trPr>
        <w:tc>
          <w:tcPr>
            <w:tcW w:w="2273" w:type="dxa"/>
          </w:tcPr>
          <w:p w14:paraId="2D50DE1B" w14:textId="77777777" w:rsidR="003C33A9" w:rsidRDefault="00000000">
            <w:pPr>
              <w:widowControl w:val="0"/>
              <w:pBdr>
                <w:top w:val="nil"/>
                <w:left w:val="nil"/>
                <w:bottom w:val="nil"/>
                <w:right w:val="nil"/>
                <w:between w:val="nil"/>
              </w:pBdr>
              <w:spacing w:after="0" w:line="240" w:lineRule="auto"/>
              <w:ind w:left="106" w:right="10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if applicable</w:t>
            </w:r>
          </w:p>
        </w:tc>
        <w:tc>
          <w:tcPr>
            <w:tcW w:w="6756" w:type="dxa"/>
            <w:shd w:val="clear" w:color="auto" w:fill="F1F1F1"/>
          </w:tcPr>
          <w:p w14:paraId="1265885B" w14:textId="77777777" w:rsidR="003C33A9"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understands the concepts of socio-cultural changes in society comprehensively due to globalization, through a social perspective (both historical, sociological, and anthropological).</w:t>
            </w:r>
          </w:p>
        </w:tc>
      </w:tr>
      <w:tr w:rsidR="003C33A9" w14:paraId="348616FD" w14:textId="77777777">
        <w:trPr>
          <w:trHeight w:val="825"/>
        </w:trPr>
        <w:tc>
          <w:tcPr>
            <w:tcW w:w="2273" w:type="dxa"/>
          </w:tcPr>
          <w:p w14:paraId="3A688D05" w14:textId="77777777" w:rsidR="003C33A9" w:rsidRDefault="00000000">
            <w:pPr>
              <w:widowControl w:val="0"/>
              <w:pBdr>
                <w:top w:val="nil"/>
                <w:left w:val="nil"/>
                <w:bottom w:val="nil"/>
                <w:right w:val="nil"/>
                <w:between w:val="nil"/>
              </w:pBdr>
              <w:spacing w:after="0"/>
              <w:ind w:left="106" w:righ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Semester(s) in which the module is taught</w:t>
            </w:r>
          </w:p>
        </w:tc>
        <w:tc>
          <w:tcPr>
            <w:tcW w:w="6756" w:type="dxa"/>
            <w:shd w:val="clear" w:color="auto" w:fill="F1F1F1"/>
          </w:tcPr>
          <w:p w14:paraId="57F6DCEB"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Odd</w:t>
            </w:r>
          </w:p>
        </w:tc>
      </w:tr>
      <w:tr w:rsidR="003C33A9" w14:paraId="34AB2368" w14:textId="77777777">
        <w:trPr>
          <w:trHeight w:val="676"/>
        </w:trPr>
        <w:tc>
          <w:tcPr>
            <w:tcW w:w="2273" w:type="dxa"/>
          </w:tcPr>
          <w:p w14:paraId="172CA5CE" w14:textId="77777777" w:rsidR="003C33A9" w:rsidRDefault="00000000">
            <w:pPr>
              <w:widowControl w:val="0"/>
              <w:pBdr>
                <w:top w:val="nil"/>
                <w:left w:val="nil"/>
                <w:bottom w:val="nil"/>
                <w:right w:val="nil"/>
                <w:between w:val="nil"/>
              </w:pBdr>
              <w:spacing w:before="1" w:after="0" w:line="240" w:lineRule="auto"/>
              <w:ind w:left="106" w:right="2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 responsible for the module</w:t>
            </w:r>
          </w:p>
        </w:tc>
        <w:tc>
          <w:tcPr>
            <w:tcW w:w="6756" w:type="dxa"/>
            <w:shd w:val="clear" w:color="auto" w:fill="F1F1F1"/>
          </w:tcPr>
          <w:p w14:paraId="26E184AA" w14:textId="77777777" w:rsidR="003C33A9"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MKDK course team</w:t>
            </w:r>
          </w:p>
        </w:tc>
      </w:tr>
      <w:tr w:rsidR="003C33A9" w14:paraId="2394D7A8" w14:textId="77777777">
        <w:trPr>
          <w:trHeight w:val="342"/>
        </w:trPr>
        <w:tc>
          <w:tcPr>
            <w:tcW w:w="2273" w:type="dxa"/>
          </w:tcPr>
          <w:p w14:paraId="247A28B8"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Lecturer</w:t>
            </w:r>
          </w:p>
        </w:tc>
        <w:tc>
          <w:tcPr>
            <w:tcW w:w="6756" w:type="dxa"/>
            <w:shd w:val="clear" w:color="auto" w:fill="F1F1F1"/>
          </w:tcPr>
          <w:p w14:paraId="7D78EFCF"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Nova </w:t>
            </w:r>
            <w:proofErr w:type="spellStart"/>
            <w:r>
              <w:rPr>
                <w:rFonts w:ascii="Times New Roman" w:eastAsia="Times New Roman" w:hAnsi="Times New Roman" w:cs="Times New Roman"/>
                <w:color w:val="000000"/>
                <w:sz w:val="24"/>
                <w:szCs w:val="24"/>
              </w:rPr>
              <w:t>Scorviana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S.Pd</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M.A</w:t>
            </w:r>
            <w:proofErr w:type="gramEnd"/>
          </w:p>
        </w:tc>
      </w:tr>
      <w:tr w:rsidR="003C33A9" w14:paraId="4F563579" w14:textId="77777777">
        <w:trPr>
          <w:trHeight w:val="345"/>
        </w:trPr>
        <w:tc>
          <w:tcPr>
            <w:tcW w:w="2273" w:type="dxa"/>
          </w:tcPr>
          <w:p w14:paraId="2021FA76" w14:textId="77777777" w:rsidR="003C33A9"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w:t>
            </w:r>
          </w:p>
        </w:tc>
        <w:tc>
          <w:tcPr>
            <w:tcW w:w="6756" w:type="dxa"/>
            <w:shd w:val="clear" w:color="auto" w:fill="F1F1F1"/>
          </w:tcPr>
          <w:p w14:paraId="52923DB5" w14:textId="77777777" w:rsidR="003C33A9"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Indonesian Language [Bahasa Indonesia]</w:t>
            </w:r>
          </w:p>
        </w:tc>
      </w:tr>
      <w:tr w:rsidR="003C33A9" w14:paraId="10499BAB" w14:textId="77777777">
        <w:trPr>
          <w:trHeight w:val="672"/>
        </w:trPr>
        <w:tc>
          <w:tcPr>
            <w:tcW w:w="2273" w:type="dxa"/>
          </w:tcPr>
          <w:p w14:paraId="394E524D" w14:textId="77777777" w:rsidR="003C33A9" w:rsidRDefault="00000000">
            <w:pPr>
              <w:widowControl w:val="0"/>
              <w:pBdr>
                <w:top w:val="nil"/>
                <w:left w:val="nil"/>
                <w:bottom w:val="nil"/>
                <w:right w:val="nil"/>
                <w:between w:val="nil"/>
              </w:pBdr>
              <w:spacing w:before="3" w:after="0" w:line="240" w:lineRule="auto"/>
              <w:ind w:left="106" w:right="9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Relation to Curriculum</w:t>
            </w:r>
          </w:p>
        </w:tc>
        <w:tc>
          <w:tcPr>
            <w:tcW w:w="6756" w:type="dxa"/>
            <w:shd w:val="clear" w:color="auto" w:fill="F1F1F1"/>
          </w:tcPr>
          <w:p w14:paraId="0CB82AAB" w14:textId="77777777" w:rsidR="003C33A9"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offered in the </w:t>
            </w:r>
            <w:proofErr w:type="gramStart"/>
            <w:r>
              <w:rPr>
                <w:rFonts w:ascii="Times New Roman" w:eastAsia="Times New Roman" w:hAnsi="Times New Roman" w:cs="Times New Roman"/>
                <w:sz w:val="24"/>
                <w:szCs w:val="24"/>
              </w:rPr>
              <w:t>2th</w:t>
            </w:r>
            <w:proofErr w:type="gramEnd"/>
            <w:r>
              <w:rPr>
                <w:rFonts w:ascii="Times New Roman" w:eastAsia="Times New Roman" w:hAnsi="Times New Roman" w:cs="Times New Roman"/>
                <w:sz w:val="24"/>
                <w:szCs w:val="24"/>
              </w:rPr>
              <w:t xml:space="preserve"> semester.</w:t>
            </w:r>
          </w:p>
        </w:tc>
      </w:tr>
      <w:tr w:rsidR="003C33A9" w14:paraId="7821E44F" w14:textId="77777777">
        <w:trPr>
          <w:trHeight w:val="2206"/>
        </w:trPr>
        <w:tc>
          <w:tcPr>
            <w:tcW w:w="2273" w:type="dxa"/>
          </w:tcPr>
          <w:p w14:paraId="72E5B5C7" w14:textId="77777777" w:rsidR="003C33A9" w:rsidRDefault="00000000">
            <w:pPr>
              <w:widowControl w:val="0"/>
              <w:pBdr>
                <w:top w:val="nil"/>
                <w:left w:val="nil"/>
                <w:bottom w:val="nil"/>
                <w:right w:val="nil"/>
                <w:between w:val="nil"/>
              </w:pBdr>
              <w:spacing w:after="0" w:line="240" w:lineRule="auto"/>
              <w:ind w:left="106" w:right="3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teaching, contact hours</w:t>
            </w:r>
          </w:p>
        </w:tc>
        <w:tc>
          <w:tcPr>
            <w:tcW w:w="6756" w:type="dxa"/>
            <w:shd w:val="clear" w:color="auto" w:fill="F1F1F1"/>
          </w:tcPr>
          <w:p w14:paraId="717B7825"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methods used in this course are:</w:t>
            </w:r>
          </w:p>
          <w:p w14:paraId="28BD102A" w14:textId="77777777" w:rsidR="003C33A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Lecture method by applying a </w:t>
            </w:r>
            <w:proofErr w:type="gramStart"/>
            <w:r>
              <w:rPr>
                <w:rFonts w:ascii="Times New Roman" w:eastAsia="Times New Roman" w:hAnsi="Times New Roman" w:cs="Times New Roman"/>
                <w:i/>
                <w:color w:val="000000"/>
                <w:sz w:val="24"/>
                <w:szCs w:val="24"/>
              </w:rPr>
              <w:t>student centered</w:t>
            </w:r>
            <w:proofErr w:type="gramEnd"/>
            <w:r>
              <w:rPr>
                <w:rFonts w:ascii="Times New Roman" w:eastAsia="Times New Roman" w:hAnsi="Times New Roman" w:cs="Times New Roman"/>
                <w:i/>
                <w:color w:val="000000"/>
                <w:sz w:val="24"/>
                <w:szCs w:val="24"/>
              </w:rPr>
              <w:t xml:space="preserve"> learning approach. </w:t>
            </w:r>
            <w:r>
              <w:rPr>
                <w:rFonts w:ascii="Times New Roman" w:eastAsia="Times New Roman" w:hAnsi="Times New Roman" w:cs="Times New Roman"/>
                <w:color w:val="000000"/>
                <w:sz w:val="24"/>
                <w:szCs w:val="24"/>
              </w:rPr>
              <w:t xml:space="preserve">Among them will be carried out through assignment methods, </w:t>
            </w:r>
            <w:r>
              <w:rPr>
                <w:rFonts w:ascii="Times New Roman" w:eastAsia="Times New Roman" w:hAnsi="Times New Roman" w:cs="Times New Roman"/>
                <w:i/>
                <w:color w:val="000000"/>
                <w:sz w:val="24"/>
                <w:szCs w:val="24"/>
              </w:rPr>
              <w:t xml:space="preserve">case methods and </w:t>
            </w:r>
            <w:proofErr w:type="spellStart"/>
            <w:proofErr w:type="gramStart"/>
            <w:r>
              <w:rPr>
                <w:rFonts w:ascii="Times New Roman" w:eastAsia="Times New Roman" w:hAnsi="Times New Roman" w:cs="Times New Roman"/>
                <w:i/>
                <w:color w:val="000000"/>
                <w:sz w:val="24"/>
                <w:szCs w:val="24"/>
              </w:rPr>
              <w:t>projectbased</w:t>
            </w:r>
            <w:proofErr w:type="spellEnd"/>
            <w:proofErr w:type="gramEnd"/>
            <w:r>
              <w:rPr>
                <w:rFonts w:ascii="Times New Roman" w:eastAsia="Times New Roman" w:hAnsi="Times New Roman" w:cs="Times New Roman"/>
                <w:i/>
                <w:color w:val="000000"/>
                <w:sz w:val="24"/>
                <w:szCs w:val="24"/>
              </w:rPr>
              <w:t xml:space="preserve"> learning.</w:t>
            </w:r>
            <w:r>
              <w:rPr>
                <w:rFonts w:ascii="Times New Roman" w:eastAsia="Times New Roman" w:hAnsi="Times New Roman" w:cs="Times New Roman"/>
                <w:color w:val="000000"/>
                <w:sz w:val="24"/>
                <w:szCs w:val="24"/>
              </w:rPr>
              <w:t xml:space="preserve"> The assessment is carried out through written exams, assignment/product assessments, and performance appraisals. Learning is carried out online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w:t>
            </w:r>
          </w:p>
        </w:tc>
      </w:tr>
      <w:tr w:rsidR="003C33A9" w14:paraId="6129F748" w14:textId="77777777">
        <w:trPr>
          <w:trHeight w:val="1658"/>
        </w:trPr>
        <w:tc>
          <w:tcPr>
            <w:tcW w:w="2273" w:type="dxa"/>
          </w:tcPr>
          <w:p w14:paraId="4740AEB9" w14:textId="77777777" w:rsidR="003C33A9" w:rsidRDefault="00000000">
            <w:pPr>
              <w:widowControl w:val="0"/>
              <w:pBdr>
                <w:top w:val="nil"/>
                <w:left w:val="nil"/>
                <w:bottom w:val="nil"/>
                <w:right w:val="nil"/>
                <w:between w:val="nil"/>
              </w:pBdr>
              <w:spacing w:before="3" w:after="0" w:line="240" w:lineRule="auto"/>
              <w:ind w:left="1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Workload</w:t>
            </w:r>
          </w:p>
        </w:tc>
        <w:tc>
          <w:tcPr>
            <w:tcW w:w="6756" w:type="dxa"/>
            <w:shd w:val="clear" w:color="auto" w:fill="F1F1F1"/>
          </w:tcPr>
          <w:p w14:paraId="177BCB26"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032D1F6A" w14:textId="77777777" w:rsidR="003C33A9" w:rsidRDefault="00000000">
            <w:pPr>
              <w:pBdr>
                <w:top w:val="nil"/>
                <w:left w:val="nil"/>
                <w:bottom w:val="nil"/>
                <w:right w:val="nil"/>
                <w:between w:val="nil"/>
              </w:pBdr>
              <w:spacing w:line="240" w:lineRule="auto"/>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meet a minimum of 91 hours in one semester, which consist of: </w:t>
            </w:r>
          </w:p>
          <w:p w14:paraId="751AD83B"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21E64E84" w14:textId="77777777" w:rsidR="003C33A9" w:rsidRDefault="00000000">
            <w:pPr>
              <w:pBdr>
                <w:top w:val="nil"/>
                <w:left w:val="nil"/>
                <w:bottom w:val="nil"/>
                <w:right w:val="nil"/>
                <w:between w:val="nil"/>
              </w:pBdr>
              <w:spacing w:line="240" w:lineRule="auto"/>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hours for </w:t>
            </w:r>
            <w:proofErr w:type="gramStart"/>
            <w:r>
              <w:rPr>
                <w:rFonts w:ascii="Times New Roman" w:eastAsia="Times New Roman" w:hAnsi="Times New Roman" w:cs="Times New Roman"/>
                <w:sz w:val="24"/>
                <w:szCs w:val="24"/>
              </w:rPr>
              <w:t>lecture;</w:t>
            </w:r>
            <w:proofErr w:type="gramEnd"/>
            <w:r>
              <w:rPr>
                <w:rFonts w:ascii="Times New Roman" w:eastAsia="Times New Roman" w:hAnsi="Times New Roman" w:cs="Times New Roman"/>
                <w:sz w:val="24"/>
                <w:szCs w:val="24"/>
              </w:rPr>
              <w:t xml:space="preserve"> </w:t>
            </w:r>
          </w:p>
          <w:p w14:paraId="1B5EEAE8"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23668EAA" w14:textId="77777777" w:rsidR="003C33A9" w:rsidRDefault="00000000">
            <w:pPr>
              <w:pBdr>
                <w:top w:val="nil"/>
                <w:left w:val="nil"/>
                <w:bottom w:val="nil"/>
                <w:right w:val="nil"/>
                <w:between w:val="nil"/>
              </w:pBdr>
              <w:spacing w:line="240" w:lineRule="auto"/>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hours for structured </w:t>
            </w:r>
            <w:proofErr w:type="gramStart"/>
            <w:r>
              <w:rPr>
                <w:rFonts w:ascii="Times New Roman" w:eastAsia="Times New Roman" w:hAnsi="Times New Roman" w:cs="Times New Roman"/>
                <w:sz w:val="24"/>
                <w:szCs w:val="24"/>
              </w:rPr>
              <w:t>assignments;</w:t>
            </w:r>
            <w:proofErr w:type="gramEnd"/>
            <w:r>
              <w:rPr>
                <w:rFonts w:ascii="Times New Roman" w:eastAsia="Times New Roman" w:hAnsi="Times New Roman" w:cs="Times New Roman"/>
                <w:sz w:val="24"/>
                <w:szCs w:val="24"/>
              </w:rPr>
              <w:t xml:space="preserve"> </w:t>
            </w:r>
          </w:p>
          <w:p w14:paraId="307BD511"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19A9C7B1" w14:textId="77777777" w:rsidR="003C33A9" w:rsidRDefault="00000000">
            <w:pPr>
              <w:pBdr>
                <w:top w:val="nil"/>
                <w:left w:val="nil"/>
                <w:bottom w:val="nil"/>
                <w:right w:val="nil"/>
                <w:between w:val="nil"/>
              </w:pBdr>
              <w:spacing w:line="240" w:lineRule="auto"/>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hours for individual study. </w:t>
            </w:r>
          </w:p>
          <w:p w14:paraId="215E94F7"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44857C08"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p w14:paraId="4FF41081" w14:textId="77777777" w:rsidR="003C33A9" w:rsidRDefault="003C33A9">
            <w:pPr>
              <w:pBdr>
                <w:top w:val="nil"/>
                <w:left w:val="nil"/>
                <w:bottom w:val="nil"/>
                <w:right w:val="nil"/>
                <w:between w:val="nil"/>
              </w:pBdr>
              <w:spacing w:line="240" w:lineRule="auto"/>
              <w:ind w:left="427"/>
              <w:rPr>
                <w:rFonts w:ascii="Times New Roman" w:eastAsia="Times New Roman" w:hAnsi="Times New Roman" w:cs="Times New Roman"/>
                <w:sz w:val="24"/>
                <w:szCs w:val="24"/>
              </w:rPr>
            </w:pPr>
          </w:p>
        </w:tc>
      </w:tr>
      <w:tr w:rsidR="003C33A9" w14:paraId="5964621F" w14:textId="77777777">
        <w:trPr>
          <w:trHeight w:val="345"/>
        </w:trPr>
        <w:tc>
          <w:tcPr>
            <w:tcW w:w="2273" w:type="dxa"/>
          </w:tcPr>
          <w:p w14:paraId="22007DDE" w14:textId="77777777" w:rsidR="003C33A9"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Credit points</w:t>
            </w:r>
          </w:p>
        </w:tc>
        <w:tc>
          <w:tcPr>
            <w:tcW w:w="6756" w:type="dxa"/>
            <w:shd w:val="clear" w:color="auto" w:fill="F1F1F1"/>
          </w:tcPr>
          <w:p w14:paraId="07E97908" w14:textId="77777777" w:rsidR="003C33A9" w:rsidRDefault="00000000">
            <w:pPr>
              <w:spacing w:line="240" w:lineRule="auto"/>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credit points (equivalent with 3 ECTS) </w:t>
            </w:r>
          </w:p>
          <w:p w14:paraId="22D4D10B" w14:textId="77777777" w:rsidR="003C33A9" w:rsidRDefault="003C33A9">
            <w:pPr>
              <w:widowControl w:val="0"/>
              <w:pBdr>
                <w:top w:val="nil"/>
                <w:left w:val="nil"/>
                <w:bottom w:val="nil"/>
                <w:right w:val="nil"/>
                <w:between w:val="nil"/>
              </w:pBdr>
              <w:tabs>
                <w:tab w:val="left" w:pos="4387"/>
              </w:tabs>
              <w:spacing w:after="0" w:line="275" w:lineRule="auto"/>
              <w:ind w:left="106"/>
              <w:rPr>
                <w:rFonts w:ascii="Times New Roman" w:eastAsia="Times New Roman" w:hAnsi="Times New Roman" w:cs="Times New Roman"/>
                <w:sz w:val="24"/>
                <w:szCs w:val="24"/>
              </w:rPr>
            </w:pPr>
          </w:p>
        </w:tc>
      </w:tr>
      <w:tr w:rsidR="003C33A9" w14:paraId="6508B575" w14:textId="77777777">
        <w:trPr>
          <w:trHeight w:val="1102"/>
        </w:trPr>
        <w:tc>
          <w:tcPr>
            <w:tcW w:w="2273" w:type="dxa"/>
          </w:tcPr>
          <w:p w14:paraId="7B1511E8" w14:textId="77777777" w:rsidR="003C33A9" w:rsidRDefault="00000000">
            <w:pPr>
              <w:widowControl w:val="0"/>
              <w:pBdr>
                <w:top w:val="nil"/>
                <w:left w:val="nil"/>
                <w:bottom w:val="nil"/>
                <w:right w:val="nil"/>
                <w:between w:val="nil"/>
              </w:pBdr>
              <w:spacing w:after="0" w:line="240" w:lineRule="auto"/>
              <w:ind w:left="106" w:right="4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Requirements according to the examination</w:t>
            </w:r>
          </w:p>
          <w:p w14:paraId="725CD888" w14:textId="77777777" w:rsidR="003C33A9" w:rsidRDefault="00000000">
            <w:pPr>
              <w:widowControl w:val="0"/>
              <w:pBdr>
                <w:top w:val="nil"/>
                <w:left w:val="nil"/>
                <w:bottom w:val="nil"/>
                <w:right w:val="nil"/>
                <w:between w:val="nil"/>
              </w:pBdr>
              <w:spacing w:after="0" w:line="25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w:t>
            </w:r>
          </w:p>
        </w:tc>
        <w:tc>
          <w:tcPr>
            <w:tcW w:w="6756" w:type="dxa"/>
            <w:shd w:val="clear" w:color="auto" w:fill="F1F1F1"/>
          </w:tcPr>
          <w:p w14:paraId="6EEBBEEE" w14:textId="77777777" w:rsidR="003C33A9"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must attend all classes and submit all scheduled classwork before the final exam. </w:t>
            </w:r>
          </w:p>
        </w:tc>
      </w:tr>
      <w:tr w:rsidR="003C33A9" w14:paraId="6ED5F5C9" w14:textId="77777777">
        <w:trPr>
          <w:trHeight w:val="673"/>
        </w:trPr>
        <w:tc>
          <w:tcPr>
            <w:tcW w:w="2273" w:type="dxa"/>
          </w:tcPr>
          <w:p w14:paraId="1A26333B" w14:textId="77777777" w:rsidR="003C33A9" w:rsidRDefault="00000000">
            <w:pPr>
              <w:widowControl w:val="0"/>
              <w:pBdr>
                <w:top w:val="nil"/>
                <w:left w:val="nil"/>
                <w:bottom w:val="nil"/>
                <w:right w:val="nil"/>
                <w:between w:val="nil"/>
              </w:pBdr>
              <w:spacing w:before="3" w:after="0" w:line="240" w:lineRule="auto"/>
              <w:ind w:left="106" w:right="6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Recommended prerequisites</w:t>
            </w:r>
          </w:p>
        </w:tc>
        <w:tc>
          <w:tcPr>
            <w:tcW w:w="6756" w:type="dxa"/>
            <w:shd w:val="clear" w:color="auto" w:fill="F1F1F1"/>
          </w:tcPr>
          <w:p w14:paraId="46881D39" w14:textId="77777777" w:rsidR="003C33A9"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not allowed more than 3 times and collect assignments before the implementation of the final semester exam.</w:t>
            </w:r>
          </w:p>
        </w:tc>
      </w:tr>
      <w:tr w:rsidR="003C33A9" w14:paraId="671EB5A3" w14:textId="77777777">
        <w:trPr>
          <w:trHeight w:val="1950"/>
        </w:trPr>
        <w:tc>
          <w:tcPr>
            <w:tcW w:w="2273" w:type="dxa"/>
          </w:tcPr>
          <w:p w14:paraId="2143174F"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objectives/intended learning outcomes</w:t>
            </w:r>
          </w:p>
        </w:tc>
        <w:tc>
          <w:tcPr>
            <w:tcW w:w="6756" w:type="dxa"/>
            <w:shd w:val="clear" w:color="auto" w:fill="F1F1F1"/>
          </w:tcPr>
          <w:p w14:paraId="25E1EBC5" w14:textId="77777777" w:rsidR="003C33A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Able to plan, implement, and evaluate curricular, co-curricular, and extracurricular learning using an active learning approach with various learning resources, IT-based learning media, and the potential of the local environment, in accordance with quality processes and standards. Able to learn and develop various learning methods that have been provided and tested innovatively.</w:t>
            </w:r>
          </w:p>
        </w:tc>
      </w:tr>
      <w:tr w:rsidR="003C33A9" w14:paraId="68872B6E"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202B1C96"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30F46F53" w14:textId="77777777" w:rsidR="003C33A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about:</w:t>
            </w:r>
          </w:p>
          <w:p w14:paraId="2C5F8BE9" w14:textId="77777777" w:rsidR="003C33A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F0F5F"/>
                <w:sz w:val="24"/>
                <w:szCs w:val="24"/>
                <w:shd w:val="clear" w:color="auto" w:fill="F0F0A0"/>
              </w:rPr>
              <w:t xml:space="preserve">Students </w:t>
            </w:r>
            <w:r>
              <w:rPr>
                <w:rFonts w:ascii="Times New Roman" w:eastAsia="Times New Roman" w:hAnsi="Times New Roman" w:cs="Times New Roman"/>
                <w:color w:val="000000"/>
                <w:sz w:val="24"/>
                <w:szCs w:val="24"/>
                <w:shd w:val="clear" w:color="auto" w:fill="F0F0A0"/>
              </w:rPr>
              <w:t>understand the concepts of socio-cultural change comprehensively</w:t>
            </w:r>
          </w:p>
        </w:tc>
      </w:tr>
      <w:tr w:rsidR="003C33A9" w14:paraId="39ACB04E"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249A073C"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Forms of Assessment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44144E55" w14:textId="77777777" w:rsidR="003C33A9" w:rsidRDefault="00000000">
            <w:pPr>
              <w:widowControl w:val="0"/>
              <w:pBdr>
                <w:top w:val="nil"/>
                <w:left w:val="nil"/>
                <w:bottom w:val="nil"/>
                <w:right w:val="nil"/>
                <w:between w:val="nil"/>
              </w:pBdr>
              <w:spacing w:after="0" w:line="240" w:lineRule="auto"/>
              <w:ind w:righ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Mata </w:t>
            </w:r>
            <w:proofErr w:type="spellStart"/>
            <w:r>
              <w:rPr>
                <w:rFonts w:ascii="Times New Roman" w:eastAsia="Times New Roman" w:hAnsi="Times New Roman" w:cs="Times New Roman"/>
                <w:color w:val="000000"/>
                <w:sz w:val="24"/>
                <w:szCs w:val="24"/>
              </w:rPr>
              <w:t>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roofErr w:type="gramEnd"/>
          </w:p>
          <w:p w14:paraId="5A0DDBEF" w14:textId="77777777" w:rsidR="003C33A9" w:rsidRDefault="00000000">
            <w:pPr>
              <w:spacing w:after="0"/>
              <w:ind w:left="377" w:right="102" w:hanging="284"/>
              <w:rPr>
                <w:rFonts w:ascii="Times New Roman" w:eastAsia="Times New Roman" w:hAnsi="Times New Roman" w:cs="Times New Roman"/>
              </w:rPr>
            </w:pPr>
            <w:r>
              <w:rPr>
                <w:rFonts w:ascii="Times New Roman" w:eastAsia="Times New Roman" w:hAnsi="Times New Roman" w:cs="Times New Roman"/>
                <w:sz w:val="24"/>
                <w:szCs w:val="24"/>
              </w:rPr>
              <w:t>-     Task 1 (case based) 15%</w:t>
            </w:r>
          </w:p>
          <w:p w14:paraId="60BB3D7C" w14:textId="77777777" w:rsidR="003C33A9" w:rsidRDefault="00000000">
            <w:pPr>
              <w:spacing w:after="0"/>
              <w:ind w:left="377" w:right="102" w:hanging="284"/>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Task 2 (case based) 15%</w:t>
            </w:r>
          </w:p>
          <w:p w14:paraId="0A3299D6" w14:textId="77777777" w:rsidR="003C33A9" w:rsidRDefault="00000000">
            <w:pPr>
              <w:spacing w:after="0"/>
              <w:ind w:left="377" w:right="102" w:hanging="284"/>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Task 3 (project based) 20%</w:t>
            </w:r>
          </w:p>
          <w:p w14:paraId="52446DC6" w14:textId="77777777" w:rsidR="003C33A9" w:rsidRDefault="00000000">
            <w:pPr>
              <w:spacing w:after="0"/>
              <w:ind w:left="377" w:right="102" w:hanging="284"/>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UTS 20%</w:t>
            </w:r>
          </w:p>
          <w:p w14:paraId="26342643" w14:textId="77777777" w:rsidR="003C33A9" w:rsidRDefault="00000000">
            <w:pPr>
              <w:spacing w:after="0"/>
              <w:ind w:left="377" w:right="102" w:hanging="284"/>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UAS 30%</w:t>
            </w:r>
          </w:p>
        </w:tc>
      </w:tr>
      <w:tr w:rsidR="003C33A9" w14:paraId="008F1A1B"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30F4839E"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and examination requirements and forms of examination</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2F6A11BA" w14:textId="77777777" w:rsidR="003C33A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and examination requirements:</w:t>
            </w:r>
          </w:p>
          <w:p w14:paraId="1336D16F" w14:textId="77777777" w:rsidR="003C33A9"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   College students are not allowed to arrive late. Delay tolerance is 10 minutes. If they pass the delay tolerance, students are not allowed to take the exam.</w:t>
            </w:r>
          </w:p>
          <w:p w14:paraId="390D4007" w14:textId="77777777" w:rsidR="003C33A9"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are required to notify the lecturer if they are not present at class due to illness, etc.</w:t>
            </w:r>
          </w:p>
          <w:p w14:paraId="4C5E28EE" w14:textId="77777777" w:rsidR="003C33A9"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must submit all classwork before the deadline.</w:t>
            </w:r>
          </w:p>
          <w:p w14:paraId="53550AE0" w14:textId="77777777" w:rsidR="003C33A9"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must take the exam to get the final grade. </w:t>
            </w:r>
            <w:r>
              <w:rPr>
                <w:sz w:val="24"/>
                <w:szCs w:val="24"/>
              </w:rPr>
              <w:t xml:space="preserve"> </w:t>
            </w:r>
          </w:p>
        </w:tc>
      </w:tr>
      <w:tr w:rsidR="003C33A9" w14:paraId="4AE6640D"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0CE93269"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employed</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693FAD40" w14:textId="77777777" w:rsidR="003C33A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LMS: onlinelearning.unj.ac.id., Power Point Presentation, Zoom, Google Classroom, Google Meet,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w:t>
            </w:r>
          </w:p>
        </w:tc>
      </w:tr>
      <w:tr w:rsidR="003C33A9" w14:paraId="6CA2D475"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0399292F" w14:textId="77777777" w:rsidR="003C33A9"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25CD971D" w14:textId="77777777" w:rsidR="003C33A9" w:rsidRDefault="00000000">
            <w:pPr>
              <w:spacing w:after="0" w:line="240" w:lineRule="auto"/>
              <w:ind w:left="519" w:hanging="426"/>
            </w:pPr>
            <w:bookmarkStart w:id="0" w:name="_heading=h.gjdgxs" w:colFirst="0" w:colLast="0"/>
            <w:bookmarkEnd w:id="0"/>
            <w:r>
              <w:t>1. Johnson, Dayle Paul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1994. Classical and Modern Sociology, Volumes I and II (ed.). PT Gramedia Pustaka Utama. Jakarta:</w:t>
            </w:r>
          </w:p>
          <w:p w14:paraId="5B2AFF5C" w14:textId="77777777" w:rsidR="003C33A9" w:rsidRDefault="00000000">
            <w:pPr>
              <w:spacing w:after="0" w:line="240" w:lineRule="auto"/>
              <w:ind w:left="519" w:hanging="426"/>
            </w:pPr>
            <w:r>
              <w:t xml:space="preserve">2. </w:t>
            </w:r>
            <w:proofErr w:type="spellStart"/>
            <w:r>
              <w:t>Koentjaraningrat</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1990. Introduction to the Science of Anthropology. </w:t>
            </w:r>
            <w:proofErr w:type="spellStart"/>
            <w:r>
              <w:rPr>
                <w:rFonts w:ascii="Times New Roman" w:eastAsia="Times New Roman" w:hAnsi="Times New Roman" w:cs="Times New Roman"/>
                <w:color w:val="000000"/>
                <w:sz w:val="24"/>
                <w:szCs w:val="24"/>
              </w:rPr>
              <w:t>Rineka</w:t>
            </w:r>
            <w:proofErr w:type="spellEnd"/>
            <w:r>
              <w:rPr>
                <w:rFonts w:ascii="Times New Roman" w:eastAsia="Times New Roman" w:hAnsi="Times New Roman" w:cs="Times New Roman"/>
                <w:color w:val="000000"/>
                <w:sz w:val="24"/>
                <w:szCs w:val="24"/>
              </w:rPr>
              <w:t xml:space="preserve"> Cipta. Jakarta:</w:t>
            </w:r>
          </w:p>
          <w:p w14:paraId="1B9365BC" w14:textId="77777777" w:rsidR="003C33A9" w:rsidRDefault="00000000">
            <w:pPr>
              <w:spacing w:after="0" w:line="240" w:lineRule="auto"/>
              <w:ind w:left="519" w:hanging="426"/>
            </w:pPr>
            <w:r>
              <w:t>3. Lauer, Robert H. 2001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Perspectives on Social Change. </w:t>
            </w:r>
            <w:proofErr w:type="spellStart"/>
            <w:r>
              <w:rPr>
                <w:rFonts w:ascii="Times New Roman" w:eastAsia="Times New Roman" w:hAnsi="Times New Roman" w:cs="Times New Roman"/>
                <w:color w:val="000000"/>
                <w:sz w:val="24"/>
                <w:szCs w:val="24"/>
              </w:rPr>
              <w:t>Rineka</w:t>
            </w:r>
            <w:proofErr w:type="spellEnd"/>
            <w:r>
              <w:rPr>
                <w:rFonts w:ascii="Times New Roman" w:eastAsia="Times New Roman" w:hAnsi="Times New Roman" w:cs="Times New Roman"/>
                <w:color w:val="000000"/>
                <w:sz w:val="24"/>
                <w:szCs w:val="24"/>
              </w:rPr>
              <w:t xml:space="preserve"> Cipta. Jakarta:</w:t>
            </w:r>
          </w:p>
          <w:p w14:paraId="00B293B3" w14:textId="77777777" w:rsidR="003C33A9" w:rsidRDefault="00000000">
            <w:pPr>
              <w:spacing w:after="0" w:line="240" w:lineRule="auto"/>
              <w:ind w:left="519" w:hanging="426"/>
            </w:pPr>
            <w:r>
              <w:t>4. Nanang Martono</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2011. Sociology of Social Change Classical, Modern, Postmodern, and Postcolonial Perspectives. Eagle Press. Jakarta:</w:t>
            </w:r>
          </w:p>
          <w:p w14:paraId="5DD8E88E" w14:textId="77777777" w:rsidR="003C33A9" w:rsidRDefault="00000000">
            <w:pPr>
              <w:spacing w:after="0" w:line="240" w:lineRule="auto"/>
              <w:ind w:left="519" w:hanging="426"/>
            </w:pPr>
            <w:r>
              <w:t>5. Poloma, Margaret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2003. Contemporary Sociology (ed.). PT </w:t>
            </w:r>
            <w:proofErr w:type="spellStart"/>
            <w:r>
              <w:rPr>
                <w:rFonts w:ascii="Times New Roman" w:eastAsia="Times New Roman" w:hAnsi="Times New Roman" w:cs="Times New Roman"/>
                <w:color w:val="000000"/>
                <w:sz w:val="24"/>
                <w:szCs w:val="24"/>
              </w:rPr>
              <w:t>RajaGrafindo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Persada</w:t>
            </w:r>
            <w:proofErr w:type="spellEnd"/>
            <w:r>
              <w:rPr>
                <w:rFonts w:ascii="Times New Roman" w:eastAsia="Times New Roman" w:hAnsi="Times New Roman" w:cs="Times New Roman"/>
                <w:color w:val="000000"/>
                <w:sz w:val="24"/>
                <w:szCs w:val="24"/>
              </w:rPr>
              <w:t>. Jakarta:</w:t>
            </w:r>
          </w:p>
          <w:p w14:paraId="655E8812" w14:textId="77777777" w:rsidR="003C33A9" w:rsidRDefault="00000000">
            <w:pPr>
              <w:spacing w:after="0" w:line="240" w:lineRule="auto"/>
              <w:ind w:left="519" w:hanging="426"/>
            </w:pPr>
            <w:r>
              <w:t xml:space="preserve">6. Saifuddin, Ahmad </w:t>
            </w:r>
            <w:proofErr w:type="spellStart"/>
            <w:r>
              <w:t>Fedyani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2005. Contemporary Anthropology: A Critical Introduction to Paradigms. </w:t>
            </w:r>
            <w:proofErr w:type="spellStart"/>
            <w:r>
              <w:rPr>
                <w:rFonts w:ascii="Times New Roman" w:eastAsia="Times New Roman" w:hAnsi="Times New Roman" w:cs="Times New Roman"/>
                <w:color w:val="000000"/>
                <w:sz w:val="24"/>
                <w:szCs w:val="24"/>
              </w:rPr>
              <w:t>Kencana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Prenada</w:t>
            </w:r>
            <w:proofErr w:type="spellEnd"/>
            <w:r>
              <w:rPr>
                <w:rFonts w:ascii="Times New Roman" w:eastAsia="Times New Roman" w:hAnsi="Times New Roman" w:cs="Times New Roman"/>
                <w:color w:val="000000"/>
                <w:sz w:val="24"/>
                <w:szCs w:val="24"/>
              </w:rPr>
              <w:t xml:space="preserve"> Media. Jakarta:</w:t>
            </w:r>
          </w:p>
          <w:p w14:paraId="769702D6" w14:textId="77777777" w:rsidR="003C33A9" w:rsidRDefault="00000000">
            <w:pPr>
              <w:spacing w:after="0" w:line="240" w:lineRule="auto"/>
              <w:ind w:left="519" w:hanging="426"/>
            </w:pPr>
            <w:r>
              <w:t xml:space="preserve">7. </w:t>
            </w:r>
            <w:proofErr w:type="spellStart"/>
            <w:r>
              <w:t>Sztompka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2004. </w:t>
            </w:r>
            <w:r>
              <w:rPr>
                <w:rFonts w:ascii="Times New Roman" w:eastAsia="Times New Roman" w:hAnsi="Times New Roman" w:cs="Times New Roman"/>
                <w:i/>
                <w:color w:val="000000"/>
                <w:sz w:val="24"/>
                <w:szCs w:val="24"/>
              </w:rPr>
              <w:t>Sociology of Social Change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Prenada</w:t>
            </w:r>
            <w:proofErr w:type="spellEnd"/>
            <w:r>
              <w:rPr>
                <w:rFonts w:ascii="Times New Roman" w:eastAsia="Times New Roman" w:hAnsi="Times New Roman" w:cs="Times New Roman"/>
                <w:color w:val="000000"/>
                <w:sz w:val="24"/>
                <w:szCs w:val="24"/>
              </w:rPr>
              <w:t xml:space="preserve"> Media. Jakarta:</w:t>
            </w:r>
          </w:p>
          <w:p w14:paraId="1A54C5F4" w14:textId="77777777" w:rsidR="003C33A9" w:rsidRDefault="00000000">
            <w:pPr>
              <w:spacing w:after="0" w:line="240" w:lineRule="auto"/>
              <w:ind w:left="519" w:hanging="426"/>
            </w:pPr>
            <w:r>
              <w:t xml:space="preserve">8. </w:t>
            </w:r>
            <w:proofErr w:type="spellStart"/>
            <w:r>
              <w:t>Hüsken</w:t>
            </w:r>
            <w:proofErr w:type="spellEnd"/>
            <w:r>
              <w:t>, Frans</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1993. </w:t>
            </w:r>
            <w:proofErr w:type="spellStart"/>
            <w:r>
              <w:rPr>
                <w:rFonts w:ascii="Times New Roman" w:eastAsia="Times New Roman" w:hAnsi="Times New Roman" w:cs="Times New Roman"/>
                <w:i/>
                <w:sz w:val="24"/>
                <w:szCs w:val="24"/>
              </w:rPr>
              <w:t>Cultuur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als</w:t>
            </w:r>
            <w:proofErr w:type="spellEnd"/>
            <w:r>
              <w:rPr>
                <w:rFonts w:ascii="Times New Roman" w:eastAsia="Times New Roman" w:hAnsi="Times New Roman" w:cs="Times New Roman"/>
                <w:i/>
                <w:sz w:val="24"/>
                <w:szCs w:val="24"/>
              </w:rPr>
              <w:t xml:space="preserve"> Conflict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Jogyakarta</w:t>
            </w:r>
            <w:proofErr w:type="spellEnd"/>
            <w:r>
              <w:rPr>
                <w:rFonts w:ascii="Times New Roman" w:eastAsia="Times New Roman" w:hAnsi="Times New Roman" w:cs="Times New Roman"/>
                <w:sz w:val="24"/>
                <w:szCs w:val="24"/>
              </w:rPr>
              <w:t>: Population Studies Center, UGM.</w:t>
            </w:r>
          </w:p>
          <w:p w14:paraId="413ADF02" w14:textId="77777777" w:rsidR="003C33A9" w:rsidRDefault="00000000">
            <w:pPr>
              <w:spacing w:after="0" w:line="240" w:lineRule="auto"/>
              <w:ind w:left="519" w:hanging="426"/>
            </w:pPr>
            <w:r>
              <w:t xml:space="preserve">9. </w:t>
            </w:r>
            <w:proofErr w:type="spellStart"/>
            <w:r>
              <w:t>Kleden</w:t>
            </w:r>
            <w:proofErr w:type="spellEnd"/>
            <w:r>
              <w:t>, Ignas</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1987. </w:t>
            </w:r>
            <w:r>
              <w:rPr>
                <w:rFonts w:ascii="Times New Roman" w:eastAsia="Times New Roman" w:hAnsi="Times New Roman" w:cs="Times New Roman"/>
                <w:i/>
                <w:sz w:val="24"/>
                <w:szCs w:val="24"/>
              </w:rPr>
              <w:t>Scientific Attitudes and Cultural Criticism</w:t>
            </w:r>
            <w:r>
              <w:rPr>
                <w:rFonts w:ascii="Times New Roman" w:eastAsia="Times New Roman" w:hAnsi="Times New Roman" w:cs="Times New Roman"/>
                <w:sz w:val="24"/>
                <w:szCs w:val="24"/>
              </w:rPr>
              <w:t>. Jakarta: LP3ES.</w:t>
            </w:r>
          </w:p>
          <w:p w14:paraId="0A8A2081" w14:textId="77777777" w:rsidR="003C33A9" w:rsidRDefault="00000000">
            <w:pPr>
              <w:spacing w:after="0" w:line="240" w:lineRule="auto"/>
              <w:ind w:left="519" w:hanging="426"/>
            </w:pPr>
            <w:r>
              <w:t>10. Redfield, Robert</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1982. </w:t>
            </w:r>
            <w:r>
              <w:rPr>
                <w:rFonts w:ascii="Times New Roman" w:eastAsia="Times New Roman" w:hAnsi="Times New Roman" w:cs="Times New Roman"/>
                <w:i/>
                <w:sz w:val="24"/>
                <w:szCs w:val="24"/>
              </w:rPr>
              <w:t>Peasant Society and Culture</w:t>
            </w:r>
            <w:r>
              <w:rPr>
                <w:rFonts w:ascii="Times New Roman" w:eastAsia="Times New Roman" w:hAnsi="Times New Roman" w:cs="Times New Roman"/>
                <w:sz w:val="24"/>
                <w:szCs w:val="24"/>
              </w:rPr>
              <w:t>. Jakarta: YIIS.</w:t>
            </w:r>
          </w:p>
          <w:p w14:paraId="700DA0FE" w14:textId="77777777" w:rsidR="003C33A9" w:rsidRDefault="00000000">
            <w:pPr>
              <w:spacing w:after="0" w:line="240" w:lineRule="auto"/>
              <w:ind w:left="519" w:hanging="426"/>
            </w:pPr>
            <w:r>
              <w:t>11.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1983. </w:t>
            </w:r>
            <w:r>
              <w:rPr>
                <w:rFonts w:ascii="Times New Roman" w:eastAsia="Times New Roman" w:hAnsi="Times New Roman" w:cs="Times New Roman"/>
                <w:i/>
                <w:sz w:val="24"/>
                <w:szCs w:val="24"/>
              </w:rPr>
              <w:t xml:space="preserve">Abangan, </w:t>
            </w:r>
            <w:proofErr w:type="spellStart"/>
            <w:r>
              <w:rPr>
                <w:rFonts w:ascii="Times New Roman" w:eastAsia="Times New Roman" w:hAnsi="Times New Roman" w:cs="Times New Roman"/>
                <w:i/>
                <w:sz w:val="24"/>
                <w:szCs w:val="24"/>
              </w:rPr>
              <w:t>Santri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Priyayi</w:t>
            </w:r>
            <w:proofErr w:type="spellEnd"/>
            <w:r>
              <w:rPr>
                <w:rFonts w:ascii="Times New Roman" w:eastAsia="Times New Roman" w:hAnsi="Times New Roman" w:cs="Times New Roman"/>
                <w:i/>
                <w:sz w:val="24"/>
                <w:szCs w:val="24"/>
              </w:rPr>
              <w:t xml:space="preserve"> in Javanese Society</w:t>
            </w:r>
            <w:r>
              <w:rPr>
                <w:rFonts w:ascii="Times New Roman" w:eastAsia="Times New Roman" w:hAnsi="Times New Roman" w:cs="Times New Roman"/>
                <w:sz w:val="24"/>
                <w:szCs w:val="24"/>
              </w:rPr>
              <w:t>. Jakarta: Pustaka Jaya</w:t>
            </w:r>
          </w:p>
          <w:p w14:paraId="55E62FF3" w14:textId="77777777" w:rsidR="003C33A9" w:rsidRDefault="00000000">
            <w:pPr>
              <w:spacing w:after="0" w:line="240" w:lineRule="auto"/>
              <w:ind w:left="519" w:hanging="426"/>
            </w:pPr>
            <w:r>
              <w:t>12.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The Social History of an Indonesian Town</w:t>
            </w:r>
            <w:r>
              <w:rPr>
                <w:rFonts w:ascii="Times New Roman" w:eastAsia="Times New Roman" w:hAnsi="Times New Roman" w:cs="Times New Roman"/>
                <w:sz w:val="24"/>
                <w:szCs w:val="24"/>
              </w:rPr>
              <w:t>. Cabridge: MIT</w:t>
            </w:r>
          </w:p>
          <w:p w14:paraId="7ACA6AE5" w14:textId="77777777" w:rsidR="003C33A9" w:rsidRDefault="00000000">
            <w:pPr>
              <w:spacing w:after="0" w:line="240" w:lineRule="auto"/>
              <w:ind w:left="519" w:hanging="426"/>
            </w:pPr>
            <w:r>
              <w:t>13.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1998. </w:t>
            </w:r>
            <w:r>
              <w:rPr>
                <w:rFonts w:ascii="Times New Roman" w:eastAsia="Times New Roman" w:hAnsi="Times New Roman" w:cs="Times New Roman"/>
                <w:i/>
                <w:sz w:val="24"/>
                <w:szCs w:val="24"/>
              </w:rPr>
              <w:t>After the Fact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Jogyakarta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LkiS</w:t>
            </w:r>
            <w:proofErr w:type="spellEnd"/>
          </w:p>
          <w:p w14:paraId="4273C96E" w14:textId="77777777" w:rsidR="003C33A9" w:rsidRDefault="00000000">
            <w:pPr>
              <w:spacing w:after="0" w:line="240" w:lineRule="auto"/>
              <w:ind w:left="519" w:hanging="426"/>
            </w:pPr>
            <w:r>
              <w:t>14.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1992. </w:t>
            </w:r>
            <w:r>
              <w:rPr>
                <w:rFonts w:ascii="Times New Roman" w:eastAsia="Times New Roman" w:hAnsi="Times New Roman" w:cs="Times New Roman"/>
                <w:i/>
                <w:sz w:val="24"/>
                <w:szCs w:val="24"/>
              </w:rPr>
              <w:t>Cultural Interpretation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Jogyakarta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Kanisius</w:t>
            </w:r>
            <w:proofErr w:type="spellEnd"/>
            <w:r>
              <w:rPr>
                <w:rFonts w:ascii="Times New Roman" w:eastAsia="Times New Roman" w:hAnsi="Times New Roman" w:cs="Times New Roman"/>
                <w:sz w:val="24"/>
                <w:szCs w:val="24"/>
              </w:rPr>
              <w:t>.</w:t>
            </w:r>
          </w:p>
          <w:p w14:paraId="6F034CB6" w14:textId="77777777" w:rsidR="003C33A9" w:rsidRDefault="00000000">
            <w:pPr>
              <w:spacing w:after="0" w:line="240" w:lineRule="auto"/>
              <w:ind w:left="519" w:hanging="426"/>
            </w:pPr>
            <w:r>
              <w:t xml:space="preserve">15. Anderson, Benedict </w:t>
            </w:r>
            <w:proofErr w:type="gramStart"/>
            <w:r>
              <w:t>R.O'G</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1965. </w:t>
            </w:r>
            <w:r>
              <w:rPr>
                <w:rFonts w:ascii="Times New Roman" w:eastAsia="Times New Roman" w:hAnsi="Times New Roman" w:cs="Times New Roman"/>
                <w:i/>
                <w:sz w:val="24"/>
                <w:szCs w:val="24"/>
              </w:rPr>
              <w:t>Mythology and the Tolerance of the Javanese.</w:t>
            </w:r>
            <w:r>
              <w:rPr>
                <w:rFonts w:ascii="Times New Roman" w:eastAsia="Times New Roman" w:hAnsi="Times New Roman" w:cs="Times New Roman"/>
                <w:sz w:val="24"/>
                <w:szCs w:val="24"/>
              </w:rPr>
              <w:t xml:space="preserve"> New York: Cornell University.</w:t>
            </w:r>
          </w:p>
        </w:tc>
      </w:tr>
    </w:tbl>
    <w:p w14:paraId="3DBD6D89" w14:textId="77777777" w:rsidR="003C33A9" w:rsidRDefault="00000000">
      <w:pPr>
        <w:tabs>
          <w:tab w:val="left" w:pos="634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3C33A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A9"/>
    <w:rsid w:val="003C33A9"/>
    <w:rsid w:val="007054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78AD"/>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6A77"/>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5B6A77"/>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NormalWeb">
    <w:name w:val="Normal (Web)"/>
    <w:basedOn w:val="Normal"/>
    <w:uiPriority w:val="99"/>
    <w:unhideWhenUsed/>
    <w:rsid w:val="005B6A7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h1u7X+cb/RJLO+t3QRkFA8diA==">AMUW2mWSlJVDYhnoy6CLtB8gyU/PPdnSERGjth6+GcR5ED+6D1tp6hx2WVZ3aY+5MQpw9vqYpM8lmEHgReqkAdvCHjqW8eiVga7uYIZ3wlGv+BLTuMSwMNhtojKJxbMOV9lmH1IpJqqT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Saipiatuddin</cp:lastModifiedBy>
  <cp:revision>2</cp:revision>
  <dcterms:created xsi:type="dcterms:W3CDTF">2024-02-12T03:36:00Z</dcterms:created>
  <dcterms:modified xsi:type="dcterms:W3CDTF">2024-02-12T03:36:00Z</dcterms:modified>
</cp:coreProperties>
</file>